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t>附件 1</w:t>
      </w: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spacing w:before="6"/>
        <w:rPr>
          <w:rFonts w:ascii="黑体"/>
          <w:sz w:val="15"/>
        </w:rPr>
      </w:pPr>
    </w:p>
    <w:p>
      <w:pPr>
        <w:spacing w:line="581" w:lineRule="exact" w:before="0"/>
        <w:ind w:left="2488" w:right="2263" w:firstLine="0"/>
        <w:jc w:val="center"/>
        <w:rPr>
          <w:rFonts w:ascii="黑体" w:eastAsia="黑体" w:hint="eastAsia"/>
          <w:b/>
          <w:sz w:val="48"/>
        </w:rPr>
      </w:pPr>
      <w:r>
        <w:rPr>
          <w:rFonts w:ascii="黑体" w:eastAsia="黑体" w:hint="eastAsia"/>
          <w:b/>
          <w:w w:val="95"/>
          <w:sz w:val="48"/>
        </w:rPr>
        <w:t>条码支付安全技术规范</w:t>
      </w:r>
    </w:p>
    <w:p>
      <w:pPr>
        <w:pStyle w:val="BodyText"/>
        <w:spacing w:before="11"/>
        <w:rPr>
          <w:rFonts w:ascii="黑体"/>
          <w:b/>
          <w:sz w:val="54"/>
        </w:rPr>
      </w:pPr>
    </w:p>
    <w:p>
      <w:pPr>
        <w:spacing w:before="0"/>
        <w:ind w:left="2488" w:right="2263" w:firstLine="0"/>
        <w:jc w:val="center"/>
        <w:rPr>
          <w:rFonts w:ascii="黑体" w:eastAsia="黑体" w:hint="eastAsia"/>
          <w:b/>
          <w:sz w:val="36"/>
        </w:rPr>
      </w:pPr>
      <w:r>
        <w:rPr>
          <w:rFonts w:ascii="黑体" w:eastAsia="黑体" w:hint="eastAsia"/>
          <w:b/>
          <w:w w:val="95"/>
          <w:sz w:val="36"/>
        </w:rPr>
        <w:t>（试行）</w:t>
      </w:r>
    </w:p>
    <w:p>
      <w:pPr>
        <w:pStyle w:val="BodyText"/>
        <w:rPr>
          <w:rFonts w:ascii="黑体"/>
          <w:b/>
          <w:sz w:val="36"/>
        </w:rPr>
      </w:pPr>
    </w:p>
    <w:p>
      <w:pPr>
        <w:pStyle w:val="BodyText"/>
        <w:rPr>
          <w:rFonts w:ascii="黑体"/>
          <w:b/>
          <w:sz w:val="36"/>
        </w:rPr>
      </w:pPr>
    </w:p>
    <w:p>
      <w:pPr>
        <w:pStyle w:val="BodyText"/>
        <w:rPr>
          <w:rFonts w:ascii="黑体"/>
          <w:b/>
          <w:sz w:val="36"/>
        </w:rPr>
      </w:pPr>
    </w:p>
    <w:p>
      <w:pPr>
        <w:pStyle w:val="BodyText"/>
        <w:rPr>
          <w:rFonts w:ascii="黑体"/>
          <w:b/>
          <w:sz w:val="36"/>
        </w:rPr>
      </w:pPr>
    </w:p>
    <w:p>
      <w:pPr>
        <w:pStyle w:val="BodyText"/>
        <w:rPr>
          <w:rFonts w:ascii="黑体"/>
          <w:b/>
          <w:sz w:val="36"/>
        </w:rPr>
      </w:pPr>
    </w:p>
    <w:p>
      <w:pPr>
        <w:pStyle w:val="BodyText"/>
        <w:rPr>
          <w:rFonts w:ascii="黑体"/>
          <w:b/>
          <w:sz w:val="36"/>
        </w:rPr>
      </w:pPr>
    </w:p>
    <w:p>
      <w:pPr>
        <w:pStyle w:val="BodyText"/>
        <w:rPr>
          <w:rFonts w:ascii="黑体"/>
          <w:b/>
          <w:sz w:val="36"/>
        </w:rPr>
      </w:pPr>
    </w:p>
    <w:p>
      <w:pPr>
        <w:pStyle w:val="BodyText"/>
        <w:rPr>
          <w:rFonts w:ascii="黑体"/>
          <w:b/>
          <w:sz w:val="36"/>
        </w:rPr>
      </w:pPr>
    </w:p>
    <w:p>
      <w:pPr>
        <w:pStyle w:val="BodyText"/>
        <w:rPr>
          <w:rFonts w:ascii="黑体"/>
          <w:b/>
          <w:sz w:val="36"/>
        </w:rPr>
      </w:pPr>
    </w:p>
    <w:p>
      <w:pPr>
        <w:pStyle w:val="BodyText"/>
        <w:rPr>
          <w:rFonts w:ascii="黑体"/>
          <w:b/>
          <w:sz w:val="36"/>
        </w:rPr>
      </w:pPr>
    </w:p>
    <w:p>
      <w:pPr>
        <w:pStyle w:val="BodyText"/>
        <w:rPr>
          <w:rFonts w:ascii="黑体"/>
          <w:b/>
          <w:sz w:val="36"/>
        </w:rPr>
      </w:pPr>
    </w:p>
    <w:p>
      <w:pPr>
        <w:pStyle w:val="BodyText"/>
        <w:spacing w:before="10"/>
        <w:rPr>
          <w:rFonts w:ascii="黑体"/>
          <w:b/>
          <w:sz w:val="44"/>
        </w:rPr>
      </w:pPr>
    </w:p>
    <w:p>
      <w:pPr>
        <w:spacing w:before="0"/>
        <w:ind w:left="2488" w:right="2262" w:firstLine="0"/>
        <w:jc w:val="center"/>
        <w:rPr>
          <w:rFonts w:ascii="黑体" w:eastAsia="黑体" w:hint="eastAsia"/>
          <w:sz w:val="36"/>
        </w:rPr>
      </w:pPr>
      <w:r>
        <w:rPr>
          <w:rFonts w:ascii="Times New Roman" w:eastAsia="Times New Roman"/>
          <w:sz w:val="36"/>
        </w:rPr>
        <w:t>2017 </w:t>
      </w:r>
      <w:r>
        <w:rPr>
          <w:rFonts w:ascii="黑体" w:eastAsia="黑体" w:hint="eastAsia"/>
          <w:spacing w:val="-63"/>
          <w:sz w:val="36"/>
        </w:rPr>
        <w:t>年 </w:t>
      </w:r>
      <w:r>
        <w:rPr>
          <w:rFonts w:ascii="Times New Roman" w:eastAsia="Times New Roman"/>
          <w:sz w:val="36"/>
        </w:rPr>
        <w:t>12 </w:t>
      </w:r>
      <w:r>
        <w:rPr>
          <w:rFonts w:ascii="黑体" w:eastAsia="黑体" w:hint="eastAsia"/>
          <w:sz w:val="36"/>
        </w:rPr>
        <w:t>月</w:t>
      </w:r>
    </w:p>
    <w:p>
      <w:pPr>
        <w:spacing w:after="0"/>
        <w:jc w:val="center"/>
        <w:rPr>
          <w:rFonts w:ascii="黑体" w:eastAsia="黑体" w:hint="eastAsia"/>
          <w:sz w:val="36"/>
        </w:rPr>
        <w:sectPr>
          <w:footerReference w:type="default" r:id="rId5"/>
          <w:footerReference w:type="even" r:id="rId6"/>
          <w:type w:val="continuous"/>
          <w:pgSz w:w="11910" w:h="16840"/>
          <w:pgMar w:footer="1101" w:top="640" w:bottom="1300" w:left="1300" w:right="1240"/>
          <w:pgNumType w:start="5"/>
        </w:sectPr>
      </w:pPr>
    </w:p>
    <w:p>
      <w:pPr>
        <w:pStyle w:val="Heading1"/>
        <w:tabs>
          <w:tab w:pos="767" w:val="left" w:leader="none"/>
        </w:tabs>
        <w:spacing w:line="401" w:lineRule="exact"/>
        <w:ind w:left="125"/>
        <w:jc w:val="center"/>
      </w:pPr>
      <w:r>
        <w:rPr/>
        <w:t>目</w:t>
        <w:tab/>
        <w:t>次</w:t>
      </w:r>
    </w:p>
    <w:p>
      <w:pPr>
        <w:pStyle w:val="ListParagraph"/>
        <w:numPr>
          <w:ilvl w:val="0"/>
          <w:numId w:val="1"/>
        </w:numPr>
        <w:tabs>
          <w:tab w:pos="330" w:val="left" w:leader="none"/>
          <w:tab w:pos="9359" w:val="right" w:leader="dot"/>
        </w:tabs>
        <w:spacing w:line="240" w:lineRule="auto" w:before="981" w:after="0"/>
        <w:ind w:left="329" w:right="0" w:hanging="211"/>
        <w:jc w:val="left"/>
        <w:rPr>
          <w:sz w:val="21"/>
        </w:rPr>
      </w:pPr>
      <w:r>
        <w:rPr>
          <w:sz w:val="21"/>
        </w:rPr>
        <w:t>范围</w:t>
        <w:tab/>
        <w:t>7</w:t>
      </w:r>
    </w:p>
    <w:p>
      <w:pPr>
        <w:pStyle w:val="ListParagraph"/>
        <w:numPr>
          <w:ilvl w:val="0"/>
          <w:numId w:val="1"/>
        </w:numPr>
        <w:tabs>
          <w:tab w:pos="330" w:val="left" w:leader="none"/>
          <w:tab w:pos="9359" w:val="right" w:leader="dot"/>
        </w:tabs>
        <w:spacing w:line="240" w:lineRule="auto" w:before="36" w:after="0"/>
        <w:ind w:left="329" w:right="0" w:hanging="211"/>
        <w:jc w:val="left"/>
        <w:rPr>
          <w:sz w:val="21"/>
        </w:rPr>
      </w:pPr>
      <w:r>
        <w:rPr>
          <w:sz w:val="21"/>
        </w:rPr>
        <w:t>规范性引用文件</w:t>
        <w:tab/>
        <w:t>7</w:t>
      </w:r>
    </w:p>
    <w:p>
      <w:pPr>
        <w:pStyle w:val="ListParagraph"/>
        <w:numPr>
          <w:ilvl w:val="0"/>
          <w:numId w:val="1"/>
        </w:numPr>
        <w:tabs>
          <w:tab w:pos="330" w:val="left" w:leader="none"/>
          <w:tab w:pos="9359" w:val="right" w:leader="dot"/>
        </w:tabs>
        <w:spacing w:line="240" w:lineRule="auto" w:before="36" w:after="0"/>
        <w:ind w:left="329" w:right="0" w:hanging="211"/>
        <w:jc w:val="left"/>
        <w:rPr>
          <w:sz w:val="21"/>
        </w:rPr>
      </w:pPr>
      <w:r>
        <w:rPr>
          <w:sz w:val="21"/>
        </w:rPr>
        <w:t>术语和定义</w:t>
        <w:tab/>
        <w:t>7</w:t>
      </w:r>
    </w:p>
    <w:p>
      <w:pPr>
        <w:pStyle w:val="ListParagraph"/>
        <w:numPr>
          <w:ilvl w:val="0"/>
          <w:numId w:val="1"/>
        </w:numPr>
        <w:tabs>
          <w:tab w:pos="330" w:val="left" w:leader="none"/>
          <w:tab w:pos="9359" w:val="right" w:leader="dot"/>
        </w:tabs>
        <w:spacing w:line="240" w:lineRule="auto" w:before="36" w:after="0"/>
        <w:ind w:left="329" w:right="0" w:hanging="211"/>
        <w:jc w:val="left"/>
        <w:rPr>
          <w:sz w:val="21"/>
        </w:rPr>
      </w:pPr>
      <w:r>
        <w:rPr>
          <w:sz w:val="21"/>
        </w:rPr>
        <w:t>系统安全</w:t>
        <w:tab/>
        <w:t>8</w:t>
      </w:r>
    </w:p>
    <w:p>
      <w:pPr>
        <w:pStyle w:val="ListParagraph"/>
        <w:numPr>
          <w:ilvl w:val="0"/>
          <w:numId w:val="1"/>
        </w:numPr>
        <w:tabs>
          <w:tab w:pos="330" w:val="left" w:leader="none"/>
          <w:tab w:pos="9359" w:val="right" w:leader="dot"/>
        </w:tabs>
        <w:spacing w:line="240" w:lineRule="auto" w:before="36" w:after="0"/>
        <w:ind w:left="329" w:right="0" w:hanging="211"/>
        <w:jc w:val="left"/>
        <w:rPr>
          <w:sz w:val="21"/>
        </w:rPr>
      </w:pPr>
      <w:r>
        <w:rPr>
          <w:sz w:val="21"/>
        </w:rPr>
        <w:t>移动终端安全</w:t>
        <w:tab/>
        <w:t>9</w:t>
      </w:r>
    </w:p>
    <w:p>
      <w:pPr>
        <w:pStyle w:val="ListParagraph"/>
        <w:numPr>
          <w:ilvl w:val="0"/>
          <w:numId w:val="1"/>
        </w:numPr>
        <w:tabs>
          <w:tab w:pos="330" w:val="left" w:leader="none"/>
          <w:tab w:pos="9359" w:val="right" w:leader="dot"/>
        </w:tabs>
        <w:spacing w:line="240" w:lineRule="auto" w:before="36" w:after="0"/>
        <w:ind w:left="329" w:right="0" w:hanging="211"/>
        <w:jc w:val="left"/>
        <w:rPr>
          <w:sz w:val="21"/>
        </w:rPr>
      </w:pPr>
      <w:r>
        <w:rPr>
          <w:sz w:val="21"/>
        </w:rPr>
        <w:t>受理终端安全</w:t>
        <w:tab/>
        <w:t>10</w:t>
      </w:r>
    </w:p>
    <w:p>
      <w:pPr>
        <w:pStyle w:val="ListParagraph"/>
        <w:numPr>
          <w:ilvl w:val="0"/>
          <w:numId w:val="1"/>
        </w:numPr>
        <w:tabs>
          <w:tab w:pos="330" w:val="left" w:leader="none"/>
          <w:tab w:pos="9359" w:val="right" w:leader="dot"/>
        </w:tabs>
        <w:spacing w:line="240" w:lineRule="auto" w:before="36" w:after="0"/>
        <w:ind w:left="329" w:right="0" w:hanging="211"/>
        <w:jc w:val="left"/>
        <w:rPr>
          <w:sz w:val="21"/>
        </w:rPr>
      </w:pPr>
      <w:r>
        <w:rPr>
          <w:sz w:val="21"/>
        </w:rPr>
        <w:t>交易安全</w:t>
        <w:tab/>
        <w:t>10</w:t>
      </w:r>
    </w:p>
    <w:p>
      <w:pPr>
        <w:pStyle w:val="BodyText"/>
        <w:tabs>
          <w:tab w:pos="538" w:val="left" w:leader="none"/>
          <w:tab w:pos="958" w:val="left" w:leader="none"/>
          <w:tab w:pos="9359" w:val="right" w:leader="dot"/>
        </w:tabs>
        <w:spacing w:before="114"/>
        <w:ind w:left="118"/>
      </w:pPr>
      <w:r>
        <w:rPr/>
        <w:t>附</w:t>
        <w:tab/>
        <w:t>录</w:t>
        <w:tab/>
        <w:t>A</w:t>
      </w:r>
      <w:r>
        <w:rPr>
          <w:spacing w:val="-1"/>
        </w:rPr>
        <w:t> </w:t>
      </w:r>
      <w:r>
        <w:rPr/>
        <w:t>（资料性附录）</w:t>
      </w:r>
      <w:r>
        <w:rPr>
          <w:spacing w:val="-1"/>
        </w:rPr>
        <w:t> </w:t>
      </w:r>
      <w:r>
        <w:rPr/>
        <w:t>防伪技术要求</w:t>
        <w:tab/>
        <w:t>15</w:t>
      </w:r>
    </w:p>
    <w:p>
      <w:pPr>
        <w:pStyle w:val="BodyText"/>
        <w:tabs>
          <w:tab w:pos="9359" w:val="right" w:leader="dot"/>
        </w:tabs>
        <w:spacing w:before="114"/>
        <w:ind w:left="118"/>
      </w:pPr>
      <w:r>
        <w:rPr/>
        <w:t>参 考 文</w:t>
      </w:r>
      <w:r>
        <w:rPr>
          <w:spacing w:val="-1"/>
        </w:rPr>
        <w:t> </w:t>
      </w:r>
      <w:r>
        <w:rPr/>
        <w:t>献</w:t>
        <w:tab/>
        <w:t>16</w:t>
      </w:r>
    </w:p>
    <w:p>
      <w:pPr>
        <w:spacing w:after="0"/>
        <w:sectPr>
          <w:pgSz w:w="11910" w:h="16840"/>
          <w:pgMar w:header="0" w:footer="1101" w:top="1220" w:bottom="1300" w:left="1300" w:right="1140"/>
        </w:sectPr>
      </w:pPr>
    </w:p>
    <w:p>
      <w:pPr>
        <w:pStyle w:val="ListParagraph"/>
        <w:numPr>
          <w:ilvl w:val="0"/>
          <w:numId w:val="2"/>
        </w:numPr>
        <w:tabs>
          <w:tab w:pos="433" w:val="left" w:leader="none"/>
          <w:tab w:pos="434" w:val="left" w:leader="none"/>
        </w:tabs>
        <w:spacing w:line="240" w:lineRule="auto" w:before="6" w:after="0"/>
        <w:ind w:left="433" w:right="0" w:hanging="315"/>
        <w:jc w:val="left"/>
        <w:rPr>
          <w:rFonts w:ascii="黑体" w:eastAsia="黑体" w:hint="eastAsia"/>
          <w:sz w:val="21"/>
        </w:rPr>
      </w:pPr>
      <w:r>
        <w:rPr>
          <w:rFonts w:ascii="黑体" w:eastAsia="黑体" w:hint="eastAsia"/>
          <w:sz w:val="21"/>
        </w:rPr>
        <w:t>范围</w:t>
      </w:r>
    </w:p>
    <w:p>
      <w:pPr>
        <w:pStyle w:val="BodyText"/>
        <w:spacing w:before="7"/>
        <w:rPr>
          <w:rFonts w:ascii="黑体"/>
          <w:sz w:val="26"/>
        </w:rPr>
      </w:pPr>
    </w:p>
    <w:p>
      <w:pPr>
        <w:pStyle w:val="BodyText"/>
        <w:spacing w:before="1"/>
        <w:ind w:left="538"/>
      </w:pPr>
      <w:r>
        <w:rPr/>
        <w:t>本规范规定了条码支付系统、终端、数据和交易的安全技术要求。</w:t>
      </w:r>
    </w:p>
    <w:p>
      <w:pPr>
        <w:pStyle w:val="BodyText"/>
        <w:spacing w:line="271" w:lineRule="auto" w:before="37"/>
        <w:ind w:left="118" w:right="110" w:firstLine="420"/>
      </w:pPr>
      <w:r>
        <w:rPr>
          <w:spacing w:val="-7"/>
        </w:rPr>
        <w:t>本规范适用于银行、非银行支付机构、清算机构开展条码支付业务时所需软硬件的设计、研发、集成和维护。</w:t>
      </w:r>
    </w:p>
    <w:p>
      <w:pPr>
        <w:pStyle w:val="BodyText"/>
        <w:spacing w:before="8"/>
        <w:rPr>
          <w:sz w:val="24"/>
        </w:rPr>
      </w:pPr>
    </w:p>
    <w:p>
      <w:pPr>
        <w:pStyle w:val="ListParagraph"/>
        <w:numPr>
          <w:ilvl w:val="0"/>
          <w:numId w:val="2"/>
        </w:numPr>
        <w:tabs>
          <w:tab w:pos="433" w:val="left" w:leader="none"/>
          <w:tab w:pos="434" w:val="left" w:leader="none"/>
        </w:tabs>
        <w:spacing w:line="240" w:lineRule="auto" w:before="0" w:after="0"/>
        <w:ind w:left="433" w:right="0" w:hanging="315"/>
        <w:jc w:val="left"/>
        <w:rPr>
          <w:rFonts w:ascii="黑体" w:eastAsia="黑体" w:hint="eastAsia"/>
          <w:sz w:val="21"/>
        </w:rPr>
      </w:pPr>
      <w:r>
        <w:rPr>
          <w:rFonts w:ascii="黑体" w:eastAsia="黑体" w:hint="eastAsia"/>
          <w:sz w:val="21"/>
        </w:rPr>
        <w:t>规范性引用文件</w:t>
      </w:r>
    </w:p>
    <w:p>
      <w:pPr>
        <w:pStyle w:val="BodyText"/>
        <w:spacing w:before="7"/>
        <w:rPr>
          <w:rFonts w:ascii="黑体"/>
          <w:sz w:val="26"/>
        </w:rPr>
      </w:pPr>
    </w:p>
    <w:p>
      <w:pPr>
        <w:pStyle w:val="BodyText"/>
        <w:spacing w:line="273" w:lineRule="auto"/>
        <w:ind w:left="118" w:right="110" w:firstLine="420"/>
      </w:pPr>
      <w:r>
        <w:rPr>
          <w:spacing w:val="-5"/>
        </w:rPr>
        <w:t>下列文件对于本文件的应用是必不可少的。凡是注日期的引用文件，仅所注日期的版本适用于本文件。凡是不注日期的引用文件，其最新版本（包括所有的修改单）适用于本文件。</w:t>
      </w:r>
    </w:p>
    <w:p>
      <w:pPr>
        <w:pStyle w:val="BodyText"/>
        <w:tabs>
          <w:tab w:pos="2329" w:val="left" w:leader="none"/>
          <w:tab w:pos="2432" w:val="left" w:leader="none"/>
          <w:tab w:pos="3905" w:val="left" w:leader="none"/>
        </w:tabs>
        <w:spacing w:line="273" w:lineRule="auto" w:before="7"/>
        <w:ind w:left="538" w:right="2733"/>
      </w:pPr>
      <w:r>
        <w:rPr/>
        <w:t>GB/T 22239—2008</w:t>
        <w:tab/>
        <w:tab/>
        <w:t>信息安全技术</w:t>
        <w:tab/>
        <w:t>信息系统安全等级保护基本要求 JR/T 0118—2015</w:t>
        <w:tab/>
        <w:t>金融电子认证规范</w:t>
      </w:r>
    </w:p>
    <w:p>
      <w:pPr>
        <w:pStyle w:val="BodyText"/>
        <w:tabs>
          <w:tab w:pos="2328" w:val="left" w:leader="none"/>
          <w:tab w:pos="4220" w:val="left" w:leader="none"/>
        </w:tabs>
        <w:spacing w:line="273" w:lineRule="auto" w:before="7"/>
        <w:ind w:left="538" w:right="3468"/>
      </w:pPr>
      <w:r>
        <w:rPr/>
        <w:t>JR/T 0149—2016</w:t>
        <w:tab/>
        <w:t>中国金融移动支付</w:t>
        <w:tab/>
        <w:t>支付标记化技术规范条码支付受理终端技术规范（试行）</w:t>
      </w:r>
    </w:p>
    <w:p>
      <w:pPr>
        <w:pStyle w:val="BodyText"/>
        <w:spacing w:before="6"/>
        <w:rPr>
          <w:sz w:val="24"/>
        </w:rPr>
      </w:pPr>
    </w:p>
    <w:p>
      <w:pPr>
        <w:pStyle w:val="ListParagraph"/>
        <w:numPr>
          <w:ilvl w:val="0"/>
          <w:numId w:val="2"/>
        </w:numPr>
        <w:tabs>
          <w:tab w:pos="433" w:val="left" w:leader="none"/>
          <w:tab w:pos="434" w:val="left" w:leader="none"/>
        </w:tabs>
        <w:spacing w:line="240" w:lineRule="auto" w:before="1" w:after="0"/>
        <w:ind w:left="433" w:right="0" w:hanging="315"/>
        <w:jc w:val="left"/>
        <w:rPr>
          <w:rFonts w:ascii="黑体" w:eastAsia="黑体" w:hint="eastAsia"/>
          <w:sz w:val="21"/>
        </w:rPr>
      </w:pPr>
      <w:r>
        <w:rPr>
          <w:rFonts w:ascii="黑体" w:eastAsia="黑体" w:hint="eastAsia"/>
          <w:sz w:val="21"/>
        </w:rPr>
        <w:t>术语和定义</w:t>
      </w:r>
    </w:p>
    <w:p>
      <w:pPr>
        <w:pStyle w:val="BodyText"/>
        <w:spacing w:before="11"/>
        <w:rPr>
          <w:rFonts w:ascii="黑体"/>
          <w:sz w:val="23"/>
        </w:rPr>
      </w:pPr>
    </w:p>
    <w:p>
      <w:pPr>
        <w:pStyle w:val="BodyText"/>
        <w:spacing w:before="36"/>
        <w:ind w:left="538"/>
      </w:pPr>
      <w:r>
        <w:rPr/>
        <w:t>下列术语和定义适用于本文件。</w:t>
      </w:r>
    </w:p>
    <w:p>
      <w:pPr>
        <w:pStyle w:val="ListParagraph"/>
        <w:numPr>
          <w:ilvl w:val="1"/>
          <w:numId w:val="2"/>
        </w:numPr>
        <w:tabs>
          <w:tab w:pos="383" w:val="left" w:leader="none"/>
        </w:tabs>
        <w:spacing w:line="240" w:lineRule="auto" w:before="86" w:after="0"/>
        <w:ind w:left="382" w:right="0" w:hanging="264"/>
        <w:jc w:val="left"/>
        <w:rPr>
          <w:rFonts w:ascii="Times New Roman"/>
          <w:sz w:val="19"/>
        </w:rPr>
      </w:pPr>
    </w:p>
    <w:p>
      <w:pPr>
        <w:pStyle w:val="BodyText"/>
        <w:spacing w:before="21"/>
        <w:ind w:left="538"/>
        <w:rPr>
          <w:rFonts w:ascii="黑体" w:eastAsia="黑体" w:hint="eastAsia"/>
        </w:rPr>
      </w:pPr>
      <w:r>
        <w:rPr>
          <w:rFonts w:ascii="黑体" w:eastAsia="黑体" w:hint="eastAsia"/>
        </w:rPr>
        <w:t>条 码 bar code</w:t>
      </w:r>
    </w:p>
    <w:p>
      <w:pPr>
        <w:pStyle w:val="BodyText"/>
        <w:spacing w:before="37"/>
        <w:ind w:left="538"/>
      </w:pPr>
      <w:r>
        <w:rPr/>
        <w:t>由一组规则排列的条、空及其对应字符组成的标记，用以表示一定的信息，包括线性条码、二维条</w:t>
      </w:r>
    </w:p>
    <w:p>
      <w:pPr>
        <w:pStyle w:val="BodyText"/>
        <w:spacing w:before="37"/>
        <w:ind w:left="118"/>
      </w:pPr>
      <w:r>
        <w:rPr/>
        <w:t>码等。</w:t>
      </w:r>
    </w:p>
    <w:p>
      <w:pPr>
        <w:pStyle w:val="BodyText"/>
        <w:spacing w:before="86"/>
        <w:ind w:left="118"/>
        <w:rPr>
          <w:rFonts w:ascii="Times New Roman"/>
        </w:rPr>
      </w:pPr>
      <w:r>
        <w:rPr>
          <w:rFonts w:ascii="Times New Roman"/>
        </w:rPr>
        <w:t>3.2</w:t>
      </w:r>
    </w:p>
    <w:p>
      <w:pPr>
        <w:pStyle w:val="BodyText"/>
        <w:spacing w:before="21"/>
        <w:ind w:left="550"/>
        <w:rPr>
          <w:rFonts w:ascii="黑体" w:eastAsia="黑体" w:hint="eastAsia"/>
        </w:rPr>
      </w:pPr>
      <w:r>
        <w:rPr>
          <w:rFonts w:ascii="黑体" w:eastAsia="黑体" w:hint="eastAsia"/>
        </w:rPr>
        <w:t>线性条码 linear bar code</w:t>
      </w:r>
    </w:p>
    <w:p>
      <w:pPr>
        <w:pStyle w:val="BodyText"/>
        <w:spacing w:line="273" w:lineRule="auto" w:before="37"/>
        <w:ind w:left="550" w:right="5489"/>
        <w:rPr>
          <w:rFonts w:ascii="黑体" w:eastAsia="黑体" w:hint="eastAsia"/>
        </w:rPr>
      </w:pPr>
      <w:r>
        <w:rPr>
          <w:rFonts w:ascii="黑体" w:eastAsia="黑体" w:hint="eastAsia"/>
        </w:rPr>
        <w:t>一维条码 one-dimensional bar code 条形码 bar code</w:t>
      </w:r>
    </w:p>
    <w:p>
      <w:pPr>
        <w:pStyle w:val="BodyText"/>
        <w:spacing w:before="7"/>
        <w:ind w:left="538"/>
      </w:pPr>
      <w:r>
        <w:rPr/>
        <w:t>宽度不等的多个黑条和空白，按照一定的编码规则排列，用以表达一组信息的图形标识符。</w:t>
      </w:r>
    </w:p>
    <w:p>
      <w:pPr>
        <w:pStyle w:val="BodyText"/>
        <w:spacing w:before="86"/>
        <w:ind w:left="118"/>
        <w:rPr>
          <w:rFonts w:ascii="Times New Roman"/>
        </w:rPr>
      </w:pPr>
      <w:r>
        <w:rPr>
          <w:rFonts w:ascii="Times New Roman"/>
        </w:rPr>
        <w:t>3.3</w:t>
      </w:r>
    </w:p>
    <w:p>
      <w:pPr>
        <w:pStyle w:val="BodyText"/>
        <w:spacing w:line="273" w:lineRule="auto" w:before="21"/>
        <w:ind w:left="550" w:right="5489"/>
        <w:rPr>
          <w:rFonts w:ascii="黑体" w:eastAsia="黑体" w:hint="eastAsia"/>
        </w:rPr>
      </w:pPr>
      <w:r>
        <w:rPr>
          <w:rFonts w:ascii="黑体" w:eastAsia="黑体" w:hint="eastAsia"/>
        </w:rPr>
        <w:t>二维条码 two-dimensional bar code 二维码 two-dimensional bar code</w:t>
      </w:r>
    </w:p>
    <w:p>
      <w:pPr>
        <w:pStyle w:val="BodyText"/>
        <w:spacing w:before="7"/>
        <w:ind w:left="538"/>
      </w:pPr>
      <w:r>
        <w:rPr/>
        <w:t>在线性条码的基础上扩展出另一维具有可读性的条码，使用具有明显色差的深浅色矩形图案表示二</w:t>
      </w:r>
    </w:p>
    <w:p>
      <w:pPr>
        <w:pStyle w:val="BodyText"/>
        <w:spacing w:before="37"/>
        <w:ind w:left="118"/>
      </w:pPr>
      <w:r>
        <w:rPr/>
        <w:t>进制数据，被设备识读和解码后可获取其中所包含的信息。</w:t>
      </w:r>
    </w:p>
    <w:p>
      <w:pPr>
        <w:pStyle w:val="BodyText"/>
        <w:spacing w:before="86"/>
        <w:ind w:left="118"/>
        <w:rPr>
          <w:rFonts w:ascii="Times New Roman"/>
        </w:rPr>
      </w:pPr>
      <w:r>
        <w:rPr>
          <w:rFonts w:ascii="Times New Roman"/>
        </w:rPr>
        <w:t>3.4</w:t>
      </w:r>
    </w:p>
    <w:p>
      <w:pPr>
        <w:pStyle w:val="BodyText"/>
        <w:spacing w:before="20"/>
        <w:ind w:left="550"/>
        <w:rPr>
          <w:rFonts w:ascii="黑体" w:eastAsia="黑体" w:hint="eastAsia"/>
        </w:rPr>
      </w:pPr>
      <w:r>
        <w:rPr>
          <w:rFonts w:ascii="黑体" w:eastAsia="黑体" w:hint="eastAsia"/>
        </w:rPr>
        <w:t>静态条码 static bar code</w:t>
      </w:r>
    </w:p>
    <w:p>
      <w:pPr>
        <w:pStyle w:val="BodyText"/>
        <w:spacing w:before="36"/>
        <w:ind w:left="538"/>
      </w:pPr>
      <w:r>
        <w:rPr/>
        <w:t>具有较长时效，可多次重复使用的条码。</w:t>
      </w:r>
    </w:p>
    <w:p>
      <w:pPr>
        <w:pStyle w:val="BodyText"/>
        <w:spacing w:before="86"/>
        <w:ind w:left="118"/>
        <w:rPr>
          <w:rFonts w:ascii="Times New Roman"/>
        </w:rPr>
      </w:pPr>
      <w:r>
        <w:rPr>
          <w:rFonts w:ascii="Times New Roman"/>
        </w:rPr>
        <w:t>3.5</w:t>
      </w:r>
    </w:p>
    <w:p>
      <w:pPr>
        <w:pStyle w:val="BodyText"/>
        <w:tabs>
          <w:tab w:pos="1603" w:val="left" w:leader="none"/>
        </w:tabs>
        <w:spacing w:before="21"/>
        <w:ind w:left="550"/>
        <w:rPr>
          <w:rFonts w:ascii="黑体" w:eastAsia="黑体" w:hint="eastAsia"/>
        </w:rPr>
      </w:pPr>
      <w:r>
        <w:rPr>
          <w:rFonts w:ascii="黑体" w:eastAsia="黑体" w:hint="eastAsia"/>
        </w:rPr>
        <w:t>动态条码</w:t>
        <w:tab/>
        <w:t>dynamic bar</w:t>
      </w:r>
      <w:r>
        <w:rPr>
          <w:rFonts w:ascii="黑体" w:eastAsia="黑体" w:hint="eastAsia"/>
          <w:spacing w:val="0"/>
        </w:rPr>
        <w:t> </w:t>
      </w:r>
      <w:r>
        <w:rPr>
          <w:rFonts w:ascii="黑体" w:eastAsia="黑体" w:hint="eastAsia"/>
        </w:rPr>
        <w:t>code</w:t>
      </w:r>
    </w:p>
    <w:p>
      <w:pPr>
        <w:pStyle w:val="BodyText"/>
        <w:spacing w:before="37"/>
        <w:ind w:left="538"/>
      </w:pPr>
      <w:r>
        <w:rPr/>
        <w:t>通过显码设备展示，并且有较短时效的条码。</w:t>
      </w:r>
    </w:p>
    <w:p>
      <w:pPr>
        <w:pStyle w:val="BodyText"/>
        <w:spacing w:before="86"/>
        <w:ind w:left="118"/>
        <w:rPr>
          <w:rFonts w:ascii="Times New Roman"/>
        </w:rPr>
      </w:pPr>
      <w:r>
        <w:rPr>
          <w:rFonts w:ascii="Times New Roman"/>
        </w:rPr>
        <w:t>3.6</w:t>
      </w:r>
    </w:p>
    <w:p>
      <w:pPr>
        <w:pStyle w:val="BodyText"/>
        <w:tabs>
          <w:tab w:pos="1603" w:val="left" w:leader="none"/>
        </w:tabs>
        <w:spacing w:before="20"/>
        <w:ind w:left="550"/>
        <w:rPr>
          <w:rFonts w:ascii="黑体" w:eastAsia="黑体" w:hint="eastAsia"/>
        </w:rPr>
      </w:pPr>
      <w:r>
        <w:rPr>
          <w:rFonts w:ascii="黑体" w:eastAsia="黑体" w:hint="eastAsia"/>
        </w:rPr>
        <w:t>条码支付</w:t>
        <w:tab/>
        <w:t>bar code</w:t>
      </w:r>
      <w:r>
        <w:rPr>
          <w:rFonts w:ascii="黑体" w:eastAsia="黑体" w:hint="eastAsia"/>
          <w:spacing w:val="0"/>
        </w:rPr>
        <w:t> </w:t>
      </w:r>
      <w:r>
        <w:rPr>
          <w:rFonts w:ascii="黑体" w:eastAsia="黑体" w:hint="eastAsia"/>
        </w:rPr>
        <w:t>payment</w:t>
      </w:r>
    </w:p>
    <w:p>
      <w:pPr>
        <w:pStyle w:val="BodyText"/>
        <w:spacing w:before="36"/>
        <w:ind w:left="538"/>
      </w:pPr>
      <w:r>
        <w:rPr/>
        <w:t>条码技术在支付领域中的应用，其本质是以条码为信息载体，通过移动终端或受理终端直接或间接</w:t>
      </w:r>
    </w:p>
    <w:p>
      <w:pPr>
        <w:pStyle w:val="BodyText"/>
        <w:spacing w:before="36"/>
        <w:ind w:left="118"/>
      </w:pPr>
      <w:r>
        <w:rPr/>
        <w:t>获取支付要素，并利用已有支付渠道完成交易的一种支付方式。</w:t>
      </w:r>
    </w:p>
    <w:p>
      <w:pPr>
        <w:pStyle w:val="BodyText"/>
        <w:spacing w:before="85"/>
        <w:ind w:left="118"/>
        <w:rPr>
          <w:rFonts w:ascii="Times New Roman"/>
        </w:rPr>
      </w:pPr>
      <w:r>
        <w:rPr>
          <w:rFonts w:ascii="Times New Roman"/>
        </w:rPr>
        <w:t>3.7</w:t>
      </w:r>
    </w:p>
    <w:p>
      <w:pPr>
        <w:pStyle w:val="BodyText"/>
        <w:tabs>
          <w:tab w:pos="1603" w:val="left" w:leader="none"/>
        </w:tabs>
        <w:spacing w:before="20"/>
        <w:ind w:left="550"/>
        <w:rPr>
          <w:rFonts w:ascii="黑体" w:eastAsia="黑体" w:hint="eastAsia"/>
        </w:rPr>
      </w:pPr>
      <w:r>
        <w:rPr>
          <w:rFonts w:ascii="黑体" w:eastAsia="黑体" w:hint="eastAsia"/>
        </w:rPr>
        <w:t>移动终端</w:t>
        <w:tab/>
        <w:t>mobile terminal</w:t>
      </w:r>
    </w:p>
    <w:p>
      <w:pPr>
        <w:pStyle w:val="BodyText"/>
        <w:spacing w:before="36"/>
        <w:ind w:left="538"/>
      </w:pPr>
      <w:r>
        <w:rPr/>
        <w:t>具有移动通讯、条码展示或识读能力的客户设备，如手机、平板电脑等。</w:t>
      </w:r>
    </w:p>
    <w:p>
      <w:pPr>
        <w:pStyle w:val="BodyText"/>
        <w:spacing w:before="86"/>
        <w:ind w:left="118"/>
        <w:rPr>
          <w:rFonts w:ascii="Times New Roman"/>
        </w:rPr>
      </w:pPr>
      <w:r>
        <w:rPr>
          <w:rFonts w:ascii="Times New Roman"/>
        </w:rPr>
        <w:t>3.8</w:t>
      </w:r>
    </w:p>
    <w:p>
      <w:pPr>
        <w:pStyle w:val="BodyText"/>
        <w:spacing w:before="21"/>
        <w:ind w:left="538"/>
        <w:rPr>
          <w:rFonts w:ascii="黑体" w:eastAsia="黑体" w:hint="eastAsia"/>
        </w:rPr>
      </w:pPr>
      <w:r>
        <w:rPr>
          <w:rFonts w:ascii="黑体" w:eastAsia="黑体" w:hint="eastAsia"/>
        </w:rPr>
        <w:t>受理终端 payment terminal</w:t>
      </w:r>
    </w:p>
    <w:p>
      <w:pPr>
        <w:spacing w:after="0"/>
        <w:rPr>
          <w:rFonts w:ascii="黑体" w:eastAsia="黑体" w:hint="eastAsia"/>
        </w:rPr>
        <w:sectPr>
          <w:pgSz w:w="11910" w:h="16840"/>
          <w:pgMar w:header="0" w:footer="1101" w:top="860" w:bottom="1080" w:left="1300" w:right="1020"/>
        </w:sectPr>
      </w:pPr>
    </w:p>
    <w:p>
      <w:pPr>
        <w:pStyle w:val="BodyText"/>
        <w:spacing w:before="12"/>
        <w:ind w:left="538"/>
      </w:pPr>
      <w:r>
        <w:rPr/>
        <w:t>具有条码展示或识读等功能，参与条码支付的商户端专用机具，包括显码设备和扫码设备。</w:t>
      </w:r>
    </w:p>
    <w:p>
      <w:pPr>
        <w:pStyle w:val="BodyText"/>
        <w:spacing w:before="84"/>
        <w:ind w:left="118"/>
        <w:rPr>
          <w:rFonts w:ascii="Times New Roman"/>
        </w:rPr>
      </w:pPr>
      <w:r>
        <w:rPr>
          <w:rFonts w:ascii="Times New Roman"/>
        </w:rPr>
        <w:t>3.9</w:t>
      </w:r>
    </w:p>
    <w:p>
      <w:pPr>
        <w:pStyle w:val="BodyText"/>
        <w:tabs>
          <w:tab w:pos="1591" w:val="left" w:leader="none"/>
        </w:tabs>
        <w:spacing w:before="21"/>
        <w:ind w:left="538"/>
        <w:rPr>
          <w:rFonts w:ascii="黑体" w:eastAsia="黑体" w:hint="eastAsia"/>
        </w:rPr>
      </w:pPr>
      <w:r>
        <w:rPr>
          <w:rFonts w:ascii="黑体" w:eastAsia="黑体" w:hint="eastAsia"/>
        </w:rPr>
        <w:t>显码设备</w:t>
        <w:tab/>
        <w:t>bar code display</w:t>
      </w:r>
      <w:r>
        <w:rPr>
          <w:rFonts w:ascii="黑体" w:eastAsia="黑体" w:hint="eastAsia"/>
          <w:spacing w:val="1"/>
        </w:rPr>
        <w:t> </w:t>
      </w:r>
      <w:r>
        <w:rPr>
          <w:rFonts w:ascii="黑体" w:eastAsia="黑体" w:hint="eastAsia"/>
        </w:rPr>
        <w:t>device</w:t>
      </w:r>
    </w:p>
    <w:p>
      <w:pPr>
        <w:pStyle w:val="BodyText"/>
        <w:spacing w:before="37"/>
        <w:ind w:left="538"/>
      </w:pPr>
      <w:r>
        <w:rPr/>
        <w:t>具有条码展示功能的专用设备。</w:t>
      </w:r>
    </w:p>
    <w:p>
      <w:pPr>
        <w:pStyle w:val="BodyText"/>
        <w:spacing w:before="86"/>
        <w:ind w:left="118"/>
        <w:rPr>
          <w:rFonts w:ascii="Times New Roman"/>
        </w:rPr>
      </w:pPr>
      <w:r>
        <w:rPr>
          <w:rFonts w:ascii="Times New Roman"/>
        </w:rPr>
        <w:t>3.10</w:t>
      </w:r>
    </w:p>
    <w:p>
      <w:pPr>
        <w:pStyle w:val="BodyText"/>
        <w:tabs>
          <w:tab w:pos="1591" w:val="left" w:leader="none"/>
        </w:tabs>
        <w:spacing w:before="21"/>
        <w:ind w:left="538"/>
        <w:rPr>
          <w:rFonts w:ascii="黑体" w:eastAsia="黑体" w:hint="eastAsia"/>
        </w:rPr>
      </w:pPr>
      <w:r>
        <w:rPr>
          <w:rFonts w:ascii="黑体" w:eastAsia="黑体" w:hint="eastAsia"/>
        </w:rPr>
        <w:t>扫码设备</w:t>
        <w:tab/>
        <w:t>bar code</w:t>
      </w:r>
      <w:r>
        <w:rPr>
          <w:rFonts w:ascii="黑体" w:eastAsia="黑体" w:hint="eastAsia"/>
          <w:spacing w:val="0"/>
        </w:rPr>
        <w:t> </w:t>
      </w:r>
      <w:r>
        <w:rPr>
          <w:rFonts w:ascii="黑体" w:eastAsia="黑体" w:hint="eastAsia"/>
        </w:rPr>
        <w:t>reader</w:t>
      </w:r>
    </w:p>
    <w:p>
      <w:pPr>
        <w:pStyle w:val="BodyText"/>
        <w:spacing w:before="37"/>
        <w:ind w:left="538"/>
      </w:pPr>
      <w:r>
        <w:rPr>
          <w:spacing w:val="-6"/>
        </w:rPr>
        <w:t>识读条码并且向后台系统发起支付指令的专用设备，包括但不限于带扫码装置的收银机、</w:t>
      </w:r>
      <w:r>
        <w:rPr/>
        <w:t>POS</w:t>
      </w:r>
      <w:r>
        <w:rPr>
          <w:spacing w:val="-15"/>
        </w:rPr>
        <w:t> 终端、</w:t>
      </w:r>
    </w:p>
    <w:p>
      <w:pPr>
        <w:pStyle w:val="BodyText"/>
        <w:spacing w:before="37"/>
        <w:ind w:left="118"/>
      </w:pPr>
      <w:r>
        <w:rPr/>
        <w:t>自助终端等。</w:t>
      </w:r>
    </w:p>
    <w:p>
      <w:pPr>
        <w:pStyle w:val="BodyText"/>
        <w:spacing w:before="9"/>
        <w:rPr>
          <w:sz w:val="26"/>
        </w:rPr>
      </w:pPr>
    </w:p>
    <w:p>
      <w:pPr>
        <w:pStyle w:val="ListParagraph"/>
        <w:numPr>
          <w:ilvl w:val="0"/>
          <w:numId w:val="2"/>
        </w:numPr>
        <w:tabs>
          <w:tab w:pos="433" w:val="left" w:leader="none"/>
          <w:tab w:pos="434" w:val="left" w:leader="none"/>
        </w:tabs>
        <w:spacing w:line="240" w:lineRule="auto" w:before="1" w:after="0"/>
        <w:ind w:left="433" w:right="0" w:hanging="315"/>
        <w:jc w:val="left"/>
        <w:rPr>
          <w:rFonts w:ascii="黑体" w:eastAsia="黑体" w:hint="eastAsia"/>
          <w:sz w:val="21"/>
        </w:rPr>
      </w:pPr>
      <w:r>
        <w:rPr>
          <w:rFonts w:ascii="黑体" w:eastAsia="黑体" w:hint="eastAsia"/>
          <w:sz w:val="21"/>
        </w:rPr>
        <w:t>系统安全</w:t>
      </w:r>
    </w:p>
    <w:p>
      <w:pPr>
        <w:pStyle w:val="BodyText"/>
        <w:spacing w:before="7"/>
        <w:rPr>
          <w:rFonts w:ascii="黑体"/>
          <w:sz w:val="26"/>
        </w:rPr>
      </w:pPr>
    </w:p>
    <w:p>
      <w:pPr>
        <w:pStyle w:val="ListParagraph"/>
        <w:numPr>
          <w:ilvl w:val="1"/>
          <w:numId w:val="2"/>
        </w:numPr>
        <w:tabs>
          <w:tab w:pos="643" w:val="left" w:leader="none"/>
          <w:tab w:pos="644" w:val="left" w:leader="none"/>
        </w:tabs>
        <w:spacing w:line="240" w:lineRule="auto" w:before="1" w:after="0"/>
        <w:ind w:left="643" w:right="0" w:hanging="525"/>
        <w:jc w:val="left"/>
        <w:rPr>
          <w:rFonts w:ascii="黑体" w:eastAsia="黑体" w:hint="eastAsia"/>
          <w:sz w:val="21"/>
        </w:rPr>
      </w:pPr>
      <w:r>
        <w:rPr>
          <w:rFonts w:ascii="黑体" w:eastAsia="黑体" w:hint="eastAsia"/>
          <w:sz w:val="21"/>
        </w:rPr>
        <w:t>物理安全要求</w:t>
      </w:r>
    </w:p>
    <w:p>
      <w:pPr>
        <w:pStyle w:val="BodyText"/>
        <w:spacing w:before="10"/>
        <w:rPr>
          <w:rFonts w:ascii="黑体"/>
          <w:sz w:val="14"/>
        </w:rPr>
      </w:pPr>
    </w:p>
    <w:p>
      <w:pPr>
        <w:pStyle w:val="BodyText"/>
        <w:ind w:left="538"/>
      </w:pPr>
      <w:r>
        <w:rPr/>
        <w:t>物理安全应符合GB/T 22239—2008中7.1.1的相关要求。</w:t>
      </w:r>
    </w:p>
    <w:p>
      <w:pPr>
        <w:pStyle w:val="BodyText"/>
        <w:spacing w:before="9"/>
        <w:rPr>
          <w:sz w:val="14"/>
        </w:rPr>
      </w:pPr>
    </w:p>
    <w:p>
      <w:pPr>
        <w:pStyle w:val="ListParagraph"/>
        <w:numPr>
          <w:ilvl w:val="1"/>
          <w:numId w:val="2"/>
        </w:numPr>
        <w:tabs>
          <w:tab w:pos="643" w:val="left" w:leader="none"/>
          <w:tab w:pos="644" w:val="left" w:leader="none"/>
        </w:tabs>
        <w:spacing w:line="240" w:lineRule="auto" w:before="1" w:after="0"/>
        <w:ind w:left="643" w:right="0" w:hanging="525"/>
        <w:jc w:val="left"/>
        <w:rPr>
          <w:rFonts w:ascii="黑体" w:eastAsia="黑体" w:hint="eastAsia"/>
          <w:sz w:val="21"/>
        </w:rPr>
      </w:pPr>
      <w:r>
        <w:rPr>
          <w:rFonts w:ascii="黑体" w:eastAsia="黑体" w:hint="eastAsia"/>
          <w:sz w:val="21"/>
        </w:rPr>
        <w:t>网络安全要求</w:t>
      </w:r>
    </w:p>
    <w:p>
      <w:pPr>
        <w:pStyle w:val="BodyText"/>
        <w:spacing w:before="10"/>
        <w:rPr>
          <w:rFonts w:ascii="黑体"/>
          <w:sz w:val="14"/>
        </w:rPr>
      </w:pPr>
    </w:p>
    <w:p>
      <w:pPr>
        <w:pStyle w:val="BodyText"/>
        <w:ind w:left="538"/>
      </w:pPr>
      <w:r>
        <w:rPr/>
        <w:t>网络安全应符合GB/T 22239—2008中7.1.2的相关要求。</w:t>
      </w:r>
    </w:p>
    <w:p>
      <w:pPr>
        <w:pStyle w:val="BodyText"/>
        <w:spacing w:before="9"/>
        <w:rPr>
          <w:sz w:val="14"/>
        </w:rPr>
      </w:pPr>
    </w:p>
    <w:p>
      <w:pPr>
        <w:pStyle w:val="ListParagraph"/>
        <w:numPr>
          <w:ilvl w:val="1"/>
          <w:numId w:val="2"/>
        </w:numPr>
        <w:tabs>
          <w:tab w:pos="643" w:val="left" w:leader="none"/>
          <w:tab w:pos="644" w:val="left" w:leader="none"/>
        </w:tabs>
        <w:spacing w:line="240" w:lineRule="auto" w:before="1" w:after="0"/>
        <w:ind w:left="643" w:right="0" w:hanging="525"/>
        <w:jc w:val="left"/>
        <w:rPr>
          <w:rFonts w:ascii="黑体" w:eastAsia="黑体" w:hint="eastAsia"/>
          <w:sz w:val="21"/>
        </w:rPr>
      </w:pPr>
      <w:r>
        <w:rPr>
          <w:rFonts w:ascii="黑体" w:eastAsia="黑体" w:hint="eastAsia"/>
          <w:sz w:val="21"/>
        </w:rPr>
        <w:t>主机安全要求</w:t>
      </w:r>
    </w:p>
    <w:p>
      <w:pPr>
        <w:pStyle w:val="BodyText"/>
        <w:spacing w:before="10"/>
        <w:rPr>
          <w:rFonts w:ascii="黑体"/>
          <w:sz w:val="14"/>
        </w:rPr>
      </w:pPr>
    </w:p>
    <w:p>
      <w:pPr>
        <w:pStyle w:val="BodyText"/>
        <w:ind w:left="538"/>
      </w:pPr>
      <w:r>
        <w:rPr/>
        <w:t>主机安全应符合GB/T 22239—2008中7.1.3的相关要求。</w:t>
      </w:r>
    </w:p>
    <w:p>
      <w:pPr>
        <w:pStyle w:val="BodyText"/>
        <w:spacing w:before="9"/>
        <w:rPr>
          <w:sz w:val="14"/>
        </w:rPr>
      </w:pPr>
    </w:p>
    <w:p>
      <w:pPr>
        <w:pStyle w:val="ListParagraph"/>
        <w:numPr>
          <w:ilvl w:val="1"/>
          <w:numId w:val="2"/>
        </w:numPr>
        <w:tabs>
          <w:tab w:pos="643" w:val="left" w:leader="none"/>
          <w:tab w:pos="644" w:val="left" w:leader="none"/>
        </w:tabs>
        <w:spacing w:line="240" w:lineRule="auto" w:before="1" w:after="0"/>
        <w:ind w:left="643" w:right="0" w:hanging="525"/>
        <w:jc w:val="left"/>
        <w:rPr>
          <w:rFonts w:ascii="黑体" w:eastAsia="黑体" w:hint="eastAsia"/>
          <w:sz w:val="21"/>
        </w:rPr>
      </w:pPr>
      <w:r>
        <w:rPr>
          <w:rFonts w:ascii="黑体" w:eastAsia="黑体" w:hint="eastAsia"/>
          <w:sz w:val="21"/>
        </w:rPr>
        <w:t>应用安全要求</w:t>
      </w:r>
    </w:p>
    <w:p>
      <w:pPr>
        <w:pStyle w:val="BodyText"/>
        <w:spacing w:before="10"/>
        <w:rPr>
          <w:rFonts w:ascii="黑体"/>
          <w:sz w:val="14"/>
        </w:rPr>
      </w:pPr>
    </w:p>
    <w:p>
      <w:pPr>
        <w:pStyle w:val="ListParagraph"/>
        <w:numPr>
          <w:ilvl w:val="2"/>
          <w:numId w:val="2"/>
        </w:numPr>
        <w:tabs>
          <w:tab w:pos="853" w:val="left" w:leader="none"/>
          <w:tab w:pos="854" w:val="left" w:leader="none"/>
        </w:tabs>
        <w:spacing w:line="240" w:lineRule="auto" w:before="0" w:after="0"/>
        <w:ind w:left="853" w:right="0" w:hanging="735"/>
        <w:jc w:val="left"/>
        <w:rPr>
          <w:rFonts w:ascii="黑体" w:eastAsia="黑体" w:hint="eastAsia"/>
          <w:sz w:val="21"/>
        </w:rPr>
      </w:pPr>
      <w:r>
        <w:rPr>
          <w:rFonts w:ascii="黑体" w:eastAsia="黑体" w:hint="eastAsia"/>
          <w:sz w:val="21"/>
        </w:rPr>
        <w:t>基本要求</w:t>
      </w:r>
    </w:p>
    <w:p>
      <w:pPr>
        <w:pStyle w:val="BodyText"/>
        <w:spacing w:before="9"/>
        <w:rPr>
          <w:rFonts w:ascii="黑体"/>
          <w:sz w:val="14"/>
        </w:rPr>
      </w:pPr>
    </w:p>
    <w:p>
      <w:pPr>
        <w:pStyle w:val="BodyText"/>
        <w:spacing w:line="273" w:lineRule="auto" w:before="1"/>
        <w:ind w:left="538" w:right="3987"/>
      </w:pPr>
      <w:r>
        <w:rPr/>
        <w:t>应用安全应符合GB/T 22239—2008中7.1.4的相关要求。其他基本要求如下：</w:t>
      </w:r>
    </w:p>
    <w:p>
      <w:pPr>
        <w:pStyle w:val="BodyText"/>
        <w:spacing w:before="8"/>
        <w:ind w:left="544"/>
      </w:pPr>
      <w:r>
        <w:rPr/>
        <w:t>——不应在日志中记录客户支付敏感信息；</w:t>
      </w:r>
    </w:p>
    <w:p>
      <w:pPr>
        <w:pStyle w:val="BodyText"/>
        <w:spacing w:before="37"/>
        <w:ind w:left="544"/>
      </w:pPr>
      <w:r>
        <w:rPr/>
        <w:t>——应采用数字签名等技术手段保证交易信息的完整性；</w:t>
      </w:r>
    </w:p>
    <w:p>
      <w:pPr>
        <w:pStyle w:val="BodyText"/>
        <w:spacing w:line="273" w:lineRule="auto" w:before="37"/>
        <w:ind w:left="952" w:right="211" w:hanging="409"/>
      </w:pPr>
      <w:r>
        <w:rPr>
          <w:spacing w:val="-7"/>
        </w:rPr>
        <w:t>——基于浏览器的应用，应使用数字证书标识网站身份，使用即时加密等安全措施降低恶意软件窃取客户支付敏感信息的风险。</w:t>
      </w:r>
    </w:p>
    <w:p>
      <w:pPr>
        <w:pStyle w:val="ListParagraph"/>
        <w:numPr>
          <w:ilvl w:val="2"/>
          <w:numId w:val="2"/>
        </w:numPr>
        <w:tabs>
          <w:tab w:pos="853" w:val="left" w:leader="none"/>
          <w:tab w:pos="854" w:val="left" w:leader="none"/>
        </w:tabs>
        <w:spacing w:line="240" w:lineRule="auto" w:before="164" w:after="0"/>
        <w:ind w:left="853" w:right="0" w:hanging="735"/>
        <w:jc w:val="left"/>
        <w:rPr>
          <w:rFonts w:ascii="黑体" w:eastAsia="黑体" w:hint="eastAsia"/>
          <w:sz w:val="21"/>
        </w:rPr>
      </w:pPr>
      <w:r>
        <w:rPr>
          <w:rFonts w:ascii="黑体" w:eastAsia="黑体" w:hint="eastAsia"/>
          <w:sz w:val="21"/>
        </w:rPr>
        <w:t>会话安全</w:t>
      </w:r>
    </w:p>
    <w:p>
      <w:pPr>
        <w:pStyle w:val="BodyText"/>
        <w:spacing w:before="10"/>
        <w:rPr>
          <w:rFonts w:ascii="黑体"/>
          <w:sz w:val="14"/>
        </w:rPr>
      </w:pPr>
    </w:p>
    <w:p>
      <w:pPr>
        <w:pStyle w:val="BodyText"/>
        <w:ind w:left="538"/>
      </w:pPr>
      <w:r>
        <w:rPr/>
        <w:t>会话安全要求如下：</w:t>
      </w:r>
    </w:p>
    <w:p>
      <w:pPr>
        <w:pStyle w:val="BodyText"/>
        <w:spacing w:before="37"/>
        <w:ind w:left="544"/>
      </w:pPr>
      <w:r>
        <w:rPr/>
        <w:t>——会话标识应唯一、随机、不可猜测；</w:t>
      </w:r>
    </w:p>
    <w:p>
      <w:pPr>
        <w:pStyle w:val="BodyText"/>
        <w:spacing w:before="37"/>
        <w:ind w:left="544"/>
      </w:pPr>
      <w:r>
        <w:rPr/>
        <w:t>——会话过程中应维持登录认证状态，防止信息未经授权访问；</w:t>
      </w:r>
    </w:p>
    <w:p>
      <w:pPr>
        <w:pStyle w:val="BodyText"/>
        <w:spacing w:before="37"/>
        <w:ind w:left="544"/>
      </w:pPr>
      <w:r>
        <w:rPr/>
        <w:t>——会话应设置超时时间，当空闲时间超过设定时间应自动终止会话；</w:t>
      </w:r>
    </w:p>
    <w:p>
      <w:pPr>
        <w:pStyle w:val="BodyText"/>
        <w:spacing w:before="37"/>
        <w:ind w:left="544"/>
      </w:pPr>
      <w:r>
        <w:rPr/>
        <w:t>——会话结束后，应及时清除会话信息；</w:t>
      </w:r>
    </w:p>
    <w:p>
      <w:pPr>
        <w:pStyle w:val="BodyText"/>
        <w:spacing w:before="37"/>
        <w:ind w:left="544"/>
      </w:pPr>
      <w:r>
        <w:rPr/>
        <w:t>——应采取加密等措施防止会话令牌在传输、存储过程中被窃取；</w:t>
      </w:r>
    </w:p>
    <w:p>
      <w:pPr>
        <w:pStyle w:val="BodyText"/>
        <w:spacing w:before="37"/>
        <w:ind w:left="544"/>
      </w:pPr>
      <w:r>
        <w:rPr/>
        <w:t>——应用审计日志宜记录暴力破解会话令牌的事件。</w:t>
      </w:r>
    </w:p>
    <w:p>
      <w:pPr>
        <w:pStyle w:val="BodyText"/>
        <w:spacing w:before="9"/>
        <w:rPr>
          <w:sz w:val="14"/>
        </w:rPr>
      </w:pPr>
    </w:p>
    <w:p>
      <w:pPr>
        <w:pStyle w:val="ListParagraph"/>
        <w:numPr>
          <w:ilvl w:val="2"/>
          <w:numId w:val="2"/>
        </w:numPr>
        <w:tabs>
          <w:tab w:pos="853" w:val="left" w:leader="none"/>
          <w:tab w:pos="854" w:val="left" w:leader="none"/>
        </w:tabs>
        <w:spacing w:line="240" w:lineRule="auto" w:before="1" w:after="0"/>
        <w:ind w:left="853" w:right="0" w:hanging="735"/>
        <w:jc w:val="left"/>
        <w:rPr>
          <w:rFonts w:ascii="黑体" w:eastAsia="黑体" w:hint="eastAsia"/>
          <w:sz w:val="21"/>
        </w:rPr>
      </w:pPr>
      <w:r>
        <w:rPr>
          <w:rFonts w:ascii="黑体" w:eastAsia="黑体" w:hint="eastAsia"/>
          <w:sz w:val="21"/>
        </w:rPr>
        <w:t>常见攻击防范</w:t>
      </w:r>
    </w:p>
    <w:p>
      <w:pPr>
        <w:pStyle w:val="BodyText"/>
        <w:spacing w:before="10"/>
        <w:rPr>
          <w:rFonts w:ascii="黑体"/>
          <w:sz w:val="14"/>
        </w:rPr>
      </w:pPr>
    </w:p>
    <w:p>
      <w:pPr>
        <w:pStyle w:val="BodyText"/>
        <w:spacing w:line="273" w:lineRule="auto"/>
        <w:ind w:left="118" w:right="209" w:firstLine="420"/>
      </w:pPr>
      <w:r>
        <w:rPr>
          <w:spacing w:val="-3"/>
        </w:rPr>
        <w:t>应对常见的攻击</w:t>
      </w:r>
      <w:r>
        <w:rPr/>
        <w:t>（</w:t>
      </w:r>
      <w:r>
        <w:rPr>
          <w:spacing w:val="-5"/>
        </w:rPr>
        <w:t>如跨站脚本攻击、注入攻击、拒绝服务攻击等</w:t>
      </w:r>
      <w:r>
        <w:rPr>
          <w:spacing w:val="-20"/>
        </w:rPr>
        <w:t>）</w:t>
      </w:r>
      <w:r>
        <w:rPr>
          <w:spacing w:val="-3"/>
        </w:rPr>
        <w:t>进行有效防范，包括但不限于以下手段：</w:t>
      </w:r>
    </w:p>
    <w:p>
      <w:pPr>
        <w:pStyle w:val="BodyText"/>
        <w:spacing w:line="273" w:lineRule="auto" w:before="7"/>
        <w:ind w:left="952" w:right="211" w:hanging="409"/>
      </w:pPr>
      <w:r>
        <w:rPr>
          <w:spacing w:val="-3"/>
        </w:rPr>
        <w:t>——应在服务器端对提交的数据进行有效性检查</w:t>
      </w:r>
      <w:r>
        <w:rPr/>
        <w:t>（</w:t>
      </w:r>
      <w:r>
        <w:rPr>
          <w:spacing w:val="-7"/>
        </w:rPr>
        <w:t>如对提交的表单、参数等进行合法性判断和非法字符过滤等）；</w:t>
      </w:r>
    </w:p>
    <w:p>
      <w:pPr>
        <w:pStyle w:val="BodyText"/>
        <w:spacing w:before="7"/>
        <w:ind w:left="544"/>
      </w:pPr>
      <w:r>
        <w:rPr/>
        <w:t>——应对条码中包含的网址等信息进行校验，对非法地址和恶意请求进行拦截；</w:t>
      </w:r>
    </w:p>
    <w:p>
      <w:pPr>
        <w:pStyle w:val="BodyText"/>
        <w:spacing w:before="37"/>
        <w:ind w:left="544"/>
      </w:pPr>
      <w:r>
        <w:rPr/>
        <w:t>——应具有防范暴力破解的保护措施；</w:t>
      </w:r>
    </w:p>
    <w:p>
      <w:pPr>
        <w:pStyle w:val="BodyText"/>
        <w:spacing w:before="37"/>
        <w:ind w:left="544"/>
      </w:pPr>
      <w:r>
        <w:rPr/>
        <w:t>——应进行代码审查，防范应用程序中不可信数据被解析为命令或查询语句；</w:t>
      </w:r>
    </w:p>
    <w:p>
      <w:pPr>
        <w:pStyle w:val="BodyText"/>
        <w:spacing w:before="37"/>
        <w:ind w:left="544"/>
      </w:pPr>
      <w:r>
        <w:rPr/>
        <w:t>——应使用安全的接口，防范接口被攻击和非授权调用；</w:t>
      </w:r>
    </w:p>
    <w:p>
      <w:pPr>
        <w:spacing w:after="0"/>
        <w:sectPr>
          <w:pgSz w:w="11910" w:h="16840"/>
          <w:pgMar w:header="0" w:footer="1101" w:top="540" w:bottom="1080" w:left="1300" w:right="920"/>
        </w:sectPr>
      </w:pPr>
    </w:p>
    <w:p>
      <w:pPr>
        <w:pStyle w:val="BodyText"/>
        <w:spacing w:before="12"/>
        <w:ind w:left="544"/>
      </w:pPr>
      <w:r>
        <w:rPr/>
        <w:t>——应采取有效措施防范针对服务器端的拒绝服务攻击；</w:t>
      </w:r>
    </w:p>
    <w:p>
      <w:pPr>
        <w:pStyle w:val="BodyText"/>
        <w:spacing w:before="35"/>
        <w:ind w:left="544"/>
      </w:pPr>
      <w:r>
        <w:rPr/>
        <w:t>——应对文件的上传和下载进行访问控制，避免执行恶意文件或未授权访问；</w:t>
      </w:r>
    </w:p>
    <w:p>
      <w:pPr>
        <w:pStyle w:val="BodyText"/>
        <w:spacing w:before="37"/>
        <w:ind w:left="544"/>
      </w:pPr>
      <w:r>
        <w:rPr/>
        <w:t>——数据库宜使用存储过程或参数化查询，并严格定义数据库用户的角色和权限；</w:t>
      </w:r>
    </w:p>
    <w:p>
      <w:pPr>
        <w:pStyle w:val="BodyText"/>
        <w:spacing w:before="37"/>
        <w:ind w:left="544"/>
      </w:pPr>
      <w:r>
        <w:rPr/>
        <w:t>——宜通过自动化工具（如弱点扫描工具等）对应用程序进行检查。</w:t>
      </w:r>
    </w:p>
    <w:p>
      <w:pPr>
        <w:pStyle w:val="BodyText"/>
        <w:spacing w:before="9"/>
        <w:rPr>
          <w:sz w:val="14"/>
        </w:rPr>
      </w:pPr>
    </w:p>
    <w:p>
      <w:pPr>
        <w:pStyle w:val="BodyText"/>
        <w:tabs>
          <w:tab w:pos="643" w:val="left" w:leader="none"/>
        </w:tabs>
        <w:ind w:left="118"/>
        <w:rPr>
          <w:rFonts w:ascii="黑体" w:eastAsia="黑体" w:hint="eastAsia"/>
        </w:rPr>
      </w:pPr>
      <w:r>
        <w:rPr>
          <w:rFonts w:ascii="黑体" w:eastAsia="黑体" w:hint="eastAsia"/>
        </w:rPr>
        <w:t>4.5</w:t>
        <w:tab/>
        <w:t>数据安全及备份恢复</w:t>
      </w:r>
    </w:p>
    <w:p>
      <w:pPr>
        <w:pStyle w:val="BodyText"/>
        <w:spacing w:before="9"/>
        <w:rPr>
          <w:rFonts w:ascii="黑体"/>
          <w:sz w:val="14"/>
        </w:rPr>
      </w:pPr>
    </w:p>
    <w:p>
      <w:pPr>
        <w:pStyle w:val="BodyText"/>
        <w:ind w:left="538"/>
      </w:pPr>
      <w:r>
        <w:rPr/>
        <w:t>数据安全及备份恢复应符合GB/T 22239—2008中7.1.5的相关要求。</w:t>
      </w:r>
    </w:p>
    <w:p>
      <w:pPr>
        <w:pStyle w:val="BodyText"/>
        <w:spacing w:before="9"/>
        <w:rPr>
          <w:sz w:val="26"/>
        </w:rPr>
      </w:pPr>
    </w:p>
    <w:p>
      <w:pPr>
        <w:pStyle w:val="ListParagraph"/>
        <w:numPr>
          <w:ilvl w:val="0"/>
          <w:numId w:val="2"/>
        </w:numPr>
        <w:tabs>
          <w:tab w:pos="433" w:val="left" w:leader="none"/>
          <w:tab w:pos="434" w:val="left" w:leader="none"/>
        </w:tabs>
        <w:spacing w:line="240" w:lineRule="auto" w:before="1" w:after="0"/>
        <w:ind w:left="433" w:right="0" w:hanging="315"/>
        <w:jc w:val="left"/>
        <w:rPr>
          <w:rFonts w:ascii="黑体" w:eastAsia="黑体" w:hint="eastAsia"/>
          <w:sz w:val="21"/>
        </w:rPr>
      </w:pPr>
      <w:r>
        <w:rPr>
          <w:rFonts w:ascii="黑体" w:eastAsia="黑体" w:hint="eastAsia"/>
          <w:sz w:val="21"/>
        </w:rPr>
        <w:t>移动终端安全</w:t>
      </w:r>
    </w:p>
    <w:p>
      <w:pPr>
        <w:pStyle w:val="BodyText"/>
        <w:spacing w:before="7"/>
        <w:rPr>
          <w:rFonts w:ascii="黑体"/>
          <w:sz w:val="26"/>
        </w:rPr>
      </w:pPr>
    </w:p>
    <w:p>
      <w:pPr>
        <w:pStyle w:val="ListParagraph"/>
        <w:numPr>
          <w:ilvl w:val="1"/>
          <w:numId w:val="2"/>
        </w:numPr>
        <w:tabs>
          <w:tab w:pos="643" w:val="left" w:leader="none"/>
          <w:tab w:pos="644" w:val="left" w:leader="none"/>
        </w:tabs>
        <w:spacing w:line="240" w:lineRule="auto" w:before="1" w:after="0"/>
        <w:ind w:left="643" w:right="0" w:hanging="525"/>
        <w:jc w:val="left"/>
        <w:rPr>
          <w:rFonts w:ascii="黑体" w:eastAsia="黑体" w:hint="eastAsia"/>
          <w:sz w:val="21"/>
        </w:rPr>
      </w:pPr>
      <w:r>
        <w:rPr>
          <w:rFonts w:ascii="黑体" w:eastAsia="黑体" w:hint="eastAsia"/>
          <w:sz w:val="21"/>
        </w:rPr>
        <w:t>人机交互安全</w:t>
      </w:r>
    </w:p>
    <w:p>
      <w:pPr>
        <w:pStyle w:val="BodyText"/>
        <w:spacing w:before="10"/>
        <w:rPr>
          <w:rFonts w:ascii="黑体"/>
          <w:sz w:val="14"/>
        </w:rPr>
      </w:pPr>
    </w:p>
    <w:p>
      <w:pPr>
        <w:pStyle w:val="ListParagraph"/>
        <w:numPr>
          <w:ilvl w:val="2"/>
          <w:numId w:val="2"/>
        </w:numPr>
        <w:tabs>
          <w:tab w:pos="853" w:val="left" w:leader="none"/>
          <w:tab w:pos="854" w:val="left" w:leader="none"/>
        </w:tabs>
        <w:spacing w:line="240" w:lineRule="auto" w:before="0" w:after="0"/>
        <w:ind w:left="853" w:right="0" w:hanging="735"/>
        <w:jc w:val="left"/>
        <w:rPr>
          <w:rFonts w:ascii="黑体" w:eastAsia="黑体" w:hint="eastAsia"/>
          <w:sz w:val="21"/>
        </w:rPr>
      </w:pPr>
      <w:r>
        <w:rPr>
          <w:rFonts w:ascii="黑体" w:eastAsia="黑体" w:hint="eastAsia"/>
          <w:sz w:val="21"/>
        </w:rPr>
        <w:t>身份验证信息管理</w:t>
      </w:r>
    </w:p>
    <w:p>
      <w:pPr>
        <w:pStyle w:val="BodyText"/>
        <w:spacing w:before="9"/>
        <w:rPr>
          <w:rFonts w:ascii="黑体"/>
          <w:sz w:val="14"/>
        </w:rPr>
      </w:pPr>
    </w:p>
    <w:p>
      <w:pPr>
        <w:pStyle w:val="BodyText"/>
        <w:spacing w:before="1"/>
        <w:ind w:left="538"/>
      </w:pPr>
      <w:r>
        <w:rPr/>
        <w:t>身份验证信息管理应满足以下要求：</w:t>
      </w:r>
    </w:p>
    <w:p>
      <w:pPr>
        <w:pStyle w:val="BodyText"/>
        <w:spacing w:before="37"/>
        <w:ind w:left="544"/>
      </w:pPr>
      <w:r>
        <w:rPr/>
        <w:t>——原始身份验证信息不应明文保存在移动终端本地；</w:t>
      </w:r>
    </w:p>
    <w:p>
      <w:pPr>
        <w:pStyle w:val="BodyText"/>
        <w:spacing w:before="37"/>
        <w:ind w:left="544"/>
      </w:pPr>
      <w:r>
        <w:rPr/>
        <w:t>——客户输入交易密码时，应提供即时加密功能；</w:t>
      </w:r>
    </w:p>
    <w:p>
      <w:pPr>
        <w:pStyle w:val="BodyText"/>
        <w:spacing w:before="37"/>
        <w:ind w:left="544"/>
      </w:pPr>
      <w:r>
        <w:rPr/>
        <w:t>——验证操作结束后应及时清除缓存，防止信息泄漏；</w:t>
      </w:r>
    </w:p>
    <w:p>
      <w:pPr>
        <w:pStyle w:val="BodyText"/>
        <w:spacing w:line="273" w:lineRule="auto" w:before="37"/>
        <w:ind w:left="952" w:right="111" w:hanging="409"/>
      </w:pPr>
      <w:r>
        <w:rPr>
          <w:spacing w:val="-6"/>
        </w:rPr>
        <w:t>——应严格限制使用初始交易密码，对交易密码复杂度进行校验，避免采用简单交易密码或与客户个人信息相似度过高的交易密码；</w:t>
      </w:r>
    </w:p>
    <w:p>
      <w:pPr>
        <w:pStyle w:val="BodyText"/>
        <w:spacing w:line="273" w:lineRule="auto" w:before="8"/>
        <w:ind w:left="952" w:right="109" w:hanging="409"/>
      </w:pPr>
      <w:r>
        <w:rPr>
          <w:spacing w:val="-1"/>
        </w:rPr>
        <w:t>——应采取有效措施提醒客户避免设置与常用软件</w:t>
      </w:r>
      <w:r>
        <w:rPr/>
        <w:t>（如社交软件</w:t>
      </w:r>
      <w:r>
        <w:rPr>
          <w:spacing w:val="-17"/>
        </w:rPr>
        <w:t>）</w:t>
      </w:r>
      <w:r>
        <w:rPr>
          <w:spacing w:val="-12"/>
        </w:rPr>
        <w:t>、网站</w:t>
      </w:r>
      <w:r>
        <w:rPr/>
        <w:t>（</w:t>
      </w:r>
      <w:r>
        <w:rPr>
          <w:spacing w:val="-3"/>
        </w:rPr>
        <w:t>如社交平台、论坛</w:t>
      </w:r>
      <w:r>
        <w:rPr>
          <w:spacing w:val="-17"/>
        </w:rPr>
        <w:t>）</w:t>
      </w:r>
      <w:r>
        <w:rPr/>
        <w:t>相同或相似的用户名和密码组合；</w:t>
      </w:r>
    </w:p>
    <w:p>
      <w:pPr>
        <w:pStyle w:val="BodyText"/>
        <w:spacing w:before="8"/>
        <w:ind w:left="544"/>
      </w:pPr>
      <w:r>
        <w:rPr/>
        <w:t>——应采取有效措施引导客户设置独立的支付密码。</w:t>
      </w:r>
    </w:p>
    <w:p>
      <w:pPr>
        <w:pStyle w:val="BodyText"/>
        <w:spacing w:before="10"/>
        <w:rPr>
          <w:sz w:val="14"/>
        </w:rPr>
      </w:pPr>
    </w:p>
    <w:p>
      <w:pPr>
        <w:pStyle w:val="ListParagraph"/>
        <w:numPr>
          <w:ilvl w:val="2"/>
          <w:numId w:val="2"/>
        </w:numPr>
        <w:tabs>
          <w:tab w:pos="853" w:val="left" w:leader="none"/>
          <w:tab w:pos="854" w:val="left" w:leader="none"/>
        </w:tabs>
        <w:spacing w:line="240" w:lineRule="auto" w:before="0" w:after="0"/>
        <w:ind w:left="853" w:right="0" w:hanging="735"/>
        <w:jc w:val="left"/>
        <w:rPr>
          <w:rFonts w:ascii="黑体" w:eastAsia="黑体" w:hint="eastAsia"/>
          <w:sz w:val="21"/>
        </w:rPr>
      </w:pPr>
      <w:r>
        <w:rPr>
          <w:rFonts w:ascii="黑体" w:eastAsia="黑体" w:hint="eastAsia"/>
          <w:sz w:val="21"/>
        </w:rPr>
        <w:t>交易异常处理</w:t>
      </w:r>
    </w:p>
    <w:p>
      <w:pPr>
        <w:pStyle w:val="BodyText"/>
        <w:spacing w:before="9"/>
        <w:rPr>
          <w:rFonts w:ascii="黑体"/>
          <w:sz w:val="14"/>
        </w:rPr>
      </w:pPr>
    </w:p>
    <w:p>
      <w:pPr>
        <w:pStyle w:val="BodyText"/>
        <w:spacing w:before="1"/>
        <w:ind w:left="538"/>
      </w:pPr>
      <w:r>
        <w:rPr/>
        <w:t>当交易出现异常时，客户端应向客户提示出错等信息。</w:t>
      </w:r>
    </w:p>
    <w:p>
      <w:pPr>
        <w:pStyle w:val="BodyText"/>
        <w:spacing w:before="10"/>
        <w:rPr>
          <w:sz w:val="14"/>
        </w:rPr>
      </w:pPr>
    </w:p>
    <w:p>
      <w:pPr>
        <w:pStyle w:val="ListParagraph"/>
        <w:numPr>
          <w:ilvl w:val="1"/>
          <w:numId w:val="3"/>
        </w:numPr>
        <w:tabs>
          <w:tab w:pos="643" w:val="left" w:leader="none"/>
          <w:tab w:pos="644" w:val="left" w:leader="none"/>
        </w:tabs>
        <w:spacing w:line="240" w:lineRule="auto" w:before="0" w:after="0"/>
        <w:ind w:left="643" w:right="0" w:hanging="525"/>
        <w:jc w:val="left"/>
        <w:rPr>
          <w:rFonts w:ascii="黑体" w:eastAsia="黑体" w:hint="eastAsia"/>
          <w:sz w:val="21"/>
        </w:rPr>
      </w:pPr>
      <w:r>
        <w:rPr>
          <w:rFonts w:ascii="黑体" w:eastAsia="黑体" w:hint="eastAsia"/>
          <w:sz w:val="21"/>
        </w:rPr>
        <w:t>客户端软件安全</w:t>
      </w:r>
    </w:p>
    <w:p>
      <w:pPr>
        <w:pStyle w:val="BodyText"/>
        <w:spacing w:before="9"/>
        <w:rPr>
          <w:rFonts w:ascii="黑体"/>
          <w:sz w:val="14"/>
        </w:rPr>
      </w:pPr>
    </w:p>
    <w:p>
      <w:pPr>
        <w:pStyle w:val="ListParagraph"/>
        <w:numPr>
          <w:ilvl w:val="2"/>
          <w:numId w:val="3"/>
        </w:numPr>
        <w:tabs>
          <w:tab w:pos="853" w:val="left" w:leader="none"/>
          <w:tab w:pos="854" w:val="left" w:leader="none"/>
        </w:tabs>
        <w:spacing w:line="240" w:lineRule="auto" w:before="1" w:after="0"/>
        <w:ind w:left="853" w:right="0" w:hanging="735"/>
        <w:jc w:val="left"/>
        <w:rPr>
          <w:rFonts w:ascii="黑体" w:eastAsia="黑体" w:hint="eastAsia"/>
          <w:sz w:val="21"/>
        </w:rPr>
      </w:pPr>
      <w:r>
        <w:rPr>
          <w:rFonts w:ascii="黑体" w:eastAsia="黑体" w:hint="eastAsia"/>
          <w:sz w:val="21"/>
        </w:rPr>
        <w:t>数据有效性校验</w:t>
      </w:r>
    </w:p>
    <w:p>
      <w:pPr>
        <w:pStyle w:val="BodyText"/>
        <w:spacing w:before="10"/>
        <w:rPr>
          <w:rFonts w:ascii="黑体"/>
          <w:sz w:val="14"/>
        </w:rPr>
      </w:pPr>
    </w:p>
    <w:p>
      <w:pPr>
        <w:pStyle w:val="BodyText"/>
        <w:spacing w:line="273" w:lineRule="auto"/>
        <w:ind w:left="118" w:right="109" w:firstLine="420"/>
      </w:pPr>
      <w:r>
        <w:rPr>
          <w:spacing w:val="-6"/>
        </w:rPr>
        <w:t>客户端软件应提供数据有效性校验功能，保证通过人机接口或通信接口输入的数据格式或长度等信息符合系统设定要求，如输入的交易金额等信息应不含特殊字符、负数等非法参数。</w:t>
      </w:r>
    </w:p>
    <w:p>
      <w:pPr>
        <w:pStyle w:val="ListParagraph"/>
        <w:numPr>
          <w:ilvl w:val="2"/>
          <w:numId w:val="3"/>
        </w:numPr>
        <w:tabs>
          <w:tab w:pos="853" w:val="left" w:leader="none"/>
          <w:tab w:pos="854" w:val="left" w:leader="none"/>
        </w:tabs>
        <w:spacing w:line="240" w:lineRule="auto" w:before="163" w:after="0"/>
        <w:ind w:left="853" w:right="0" w:hanging="735"/>
        <w:jc w:val="left"/>
        <w:rPr>
          <w:rFonts w:ascii="黑体" w:eastAsia="黑体" w:hint="eastAsia"/>
          <w:sz w:val="21"/>
        </w:rPr>
      </w:pPr>
      <w:r>
        <w:rPr>
          <w:rFonts w:ascii="黑体" w:eastAsia="黑体" w:hint="eastAsia"/>
          <w:sz w:val="21"/>
        </w:rPr>
        <w:t>页面回退清除敏感信息机制</w:t>
      </w:r>
    </w:p>
    <w:p>
      <w:pPr>
        <w:pStyle w:val="BodyText"/>
        <w:spacing w:before="9"/>
        <w:rPr>
          <w:rFonts w:ascii="黑体"/>
          <w:sz w:val="14"/>
        </w:rPr>
      </w:pPr>
    </w:p>
    <w:p>
      <w:pPr>
        <w:pStyle w:val="BodyText"/>
        <w:ind w:left="538"/>
      </w:pPr>
      <w:r>
        <w:rPr/>
        <w:t>客户端软件应支持页面回退清除密钥、密码等敏感信息的机制。</w:t>
      </w:r>
    </w:p>
    <w:p>
      <w:pPr>
        <w:pStyle w:val="BodyText"/>
        <w:spacing w:before="9"/>
        <w:rPr>
          <w:sz w:val="14"/>
        </w:rPr>
      </w:pPr>
    </w:p>
    <w:p>
      <w:pPr>
        <w:pStyle w:val="ListParagraph"/>
        <w:numPr>
          <w:ilvl w:val="2"/>
          <w:numId w:val="3"/>
        </w:numPr>
        <w:tabs>
          <w:tab w:pos="853" w:val="left" w:leader="none"/>
          <w:tab w:pos="855" w:val="left" w:leader="none"/>
        </w:tabs>
        <w:spacing w:line="240" w:lineRule="auto" w:before="0" w:after="0"/>
        <w:ind w:left="854" w:right="0" w:hanging="736"/>
        <w:jc w:val="left"/>
        <w:rPr>
          <w:rFonts w:ascii="黑体" w:eastAsia="黑体" w:hint="eastAsia"/>
          <w:sz w:val="21"/>
        </w:rPr>
      </w:pPr>
      <w:r>
        <w:rPr>
          <w:rFonts w:ascii="黑体" w:eastAsia="黑体" w:hint="eastAsia"/>
          <w:sz w:val="21"/>
        </w:rPr>
        <w:t>反编译</w:t>
      </w:r>
    </w:p>
    <w:p>
      <w:pPr>
        <w:pStyle w:val="BodyText"/>
        <w:spacing w:before="9"/>
        <w:rPr>
          <w:rFonts w:ascii="黑体"/>
          <w:sz w:val="14"/>
        </w:rPr>
      </w:pPr>
    </w:p>
    <w:p>
      <w:pPr>
        <w:pStyle w:val="BodyText"/>
        <w:spacing w:line="273" w:lineRule="auto"/>
        <w:ind w:left="118" w:right="111" w:firstLine="420"/>
      </w:pPr>
      <w:r>
        <w:rPr>
          <w:spacing w:val="-4"/>
        </w:rPr>
        <w:t>客户端软件应采用防逆向工程保护措施，如客户端软件采取代码花指令、反调试、代码混淆等技术手段，防范攻击者对客户端软件的反编译分析。</w:t>
      </w:r>
    </w:p>
    <w:p>
      <w:pPr>
        <w:pStyle w:val="ListParagraph"/>
        <w:numPr>
          <w:ilvl w:val="2"/>
          <w:numId w:val="3"/>
        </w:numPr>
        <w:tabs>
          <w:tab w:pos="853" w:val="left" w:leader="none"/>
          <w:tab w:pos="854" w:val="left" w:leader="none"/>
        </w:tabs>
        <w:spacing w:line="240" w:lineRule="auto" w:before="163" w:after="0"/>
        <w:ind w:left="853" w:right="0" w:hanging="735"/>
        <w:jc w:val="left"/>
        <w:rPr>
          <w:rFonts w:ascii="黑体" w:eastAsia="黑体" w:hint="eastAsia"/>
          <w:sz w:val="21"/>
        </w:rPr>
      </w:pPr>
      <w:r>
        <w:rPr>
          <w:rFonts w:ascii="黑体" w:eastAsia="黑体" w:hint="eastAsia"/>
          <w:sz w:val="21"/>
        </w:rPr>
        <w:t>客户端软件完整性</w:t>
      </w:r>
    </w:p>
    <w:p>
      <w:pPr>
        <w:pStyle w:val="BodyText"/>
        <w:spacing w:before="9"/>
        <w:rPr>
          <w:rFonts w:ascii="黑体"/>
          <w:sz w:val="14"/>
        </w:rPr>
      </w:pPr>
    </w:p>
    <w:p>
      <w:pPr>
        <w:pStyle w:val="BodyText"/>
        <w:ind w:left="538"/>
      </w:pPr>
      <w:r>
        <w:rPr/>
        <w:t>客户端软件完整性应满足以下要求：</w:t>
      </w:r>
    </w:p>
    <w:p>
      <w:pPr>
        <w:pStyle w:val="BodyText"/>
        <w:spacing w:line="273" w:lineRule="auto" w:before="36"/>
        <w:ind w:left="952" w:right="111" w:hanging="409"/>
      </w:pPr>
      <w:r>
        <w:rPr>
          <w:spacing w:val="-6"/>
        </w:rPr>
        <w:t>——应对客户端软件进行签名，标识客户端软件的来源和发布者，保证客户所下载的客户端软件来源于所信任的机构；</w:t>
      </w:r>
    </w:p>
    <w:p>
      <w:pPr>
        <w:pStyle w:val="BodyText"/>
        <w:spacing w:before="7"/>
        <w:ind w:left="544"/>
      </w:pPr>
      <w:r>
        <w:rPr/>
        <w:t>——客户端软件启动和更新时，应进行真实性和完整性校验，防范客户端软件被篡改。</w:t>
      </w:r>
    </w:p>
    <w:p>
      <w:pPr>
        <w:pStyle w:val="BodyText"/>
        <w:spacing w:before="9"/>
        <w:rPr>
          <w:sz w:val="14"/>
        </w:rPr>
      </w:pPr>
    </w:p>
    <w:p>
      <w:pPr>
        <w:pStyle w:val="ListParagraph"/>
        <w:numPr>
          <w:ilvl w:val="2"/>
          <w:numId w:val="3"/>
        </w:numPr>
        <w:tabs>
          <w:tab w:pos="853" w:val="left" w:leader="none"/>
          <w:tab w:pos="854" w:val="left" w:leader="none"/>
        </w:tabs>
        <w:spacing w:line="240" w:lineRule="auto" w:before="1" w:after="0"/>
        <w:ind w:left="853" w:right="0" w:hanging="735"/>
        <w:jc w:val="left"/>
        <w:rPr>
          <w:rFonts w:ascii="黑体" w:eastAsia="黑体" w:hint="eastAsia"/>
          <w:sz w:val="21"/>
        </w:rPr>
      </w:pPr>
      <w:r>
        <w:rPr>
          <w:rFonts w:ascii="黑体" w:eastAsia="黑体" w:hint="eastAsia"/>
          <w:sz w:val="21"/>
        </w:rPr>
        <w:t>运行时安全</w:t>
      </w:r>
    </w:p>
    <w:p>
      <w:pPr>
        <w:pStyle w:val="BodyText"/>
        <w:spacing w:before="10"/>
        <w:rPr>
          <w:rFonts w:ascii="黑体"/>
          <w:sz w:val="14"/>
        </w:rPr>
      </w:pPr>
    </w:p>
    <w:p>
      <w:pPr>
        <w:pStyle w:val="BodyText"/>
        <w:ind w:left="538"/>
      </w:pPr>
      <w:r>
        <w:rPr/>
        <w:t>客户端软件运行时安全应满足以下要求：</w:t>
      </w:r>
    </w:p>
    <w:p>
      <w:pPr>
        <w:pStyle w:val="BodyText"/>
        <w:spacing w:before="37"/>
        <w:ind w:left="544"/>
      </w:pPr>
      <w:r>
        <w:rPr/>
        <w:t>——客户端软件应从木马病毒防范、信息加密保护、运行环境可信等方面提升安全防控能力；</w:t>
      </w:r>
    </w:p>
    <w:p>
      <w:pPr>
        <w:pStyle w:val="BodyText"/>
        <w:spacing w:before="37"/>
        <w:ind w:left="544"/>
      </w:pPr>
      <w:r>
        <w:rPr/>
        <w:t>——客户端软件应能监测并向后台系统反馈手机支付环境安全状况，作为风控策略的依据。</w:t>
      </w:r>
    </w:p>
    <w:p>
      <w:pPr>
        <w:spacing w:after="0"/>
        <w:sectPr>
          <w:pgSz w:w="11910" w:h="16840"/>
          <w:pgMar w:header="0" w:footer="1101" w:top="540" w:bottom="1080" w:left="1300" w:right="1020"/>
        </w:sectPr>
      </w:pPr>
    </w:p>
    <w:p>
      <w:pPr>
        <w:pStyle w:val="ListParagraph"/>
        <w:numPr>
          <w:ilvl w:val="1"/>
          <w:numId w:val="3"/>
        </w:numPr>
        <w:tabs>
          <w:tab w:pos="643" w:val="left" w:leader="none"/>
          <w:tab w:pos="644" w:val="left" w:leader="none"/>
        </w:tabs>
        <w:spacing w:line="240" w:lineRule="auto" w:before="12" w:after="0"/>
        <w:ind w:left="643" w:right="0" w:hanging="525"/>
        <w:jc w:val="left"/>
        <w:rPr>
          <w:rFonts w:ascii="黑体" w:eastAsia="黑体" w:hint="eastAsia"/>
          <w:sz w:val="21"/>
        </w:rPr>
      </w:pPr>
      <w:r>
        <w:rPr>
          <w:rFonts w:ascii="黑体" w:eastAsia="黑体" w:hint="eastAsia"/>
          <w:sz w:val="21"/>
        </w:rPr>
        <w:t>通信安全</w:t>
      </w:r>
    </w:p>
    <w:p>
      <w:pPr>
        <w:pStyle w:val="BodyText"/>
        <w:spacing w:before="9"/>
        <w:rPr>
          <w:rFonts w:ascii="黑体"/>
          <w:sz w:val="14"/>
        </w:rPr>
      </w:pPr>
    </w:p>
    <w:p>
      <w:pPr>
        <w:pStyle w:val="ListParagraph"/>
        <w:numPr>
          <w:ilvl w:val="2"/>
          <w:numId w:val="3"/>
        </w:numPr>
        <w:tabs>
          <w:tab w:pos="853" w:val="left" w:leader="none"/>
          <w:tab w:pos="854" w:val="left" w:leader="none"/>
        </w:tabs>
        <w:spacing w:line="240" w:lineRule="auto" w:before="0" w:after="0"/>
        <w:ind w:left="853" w:right="0" w:hanging="735"/>
        <w:jc w:val="left"/>
        <w:rPr>
          <w:rFonts w:ascii="黑体" w:eastAsia="黑体" w:hint="eastAsia"/>
          <w:sz w:val="21"/>
        </w:rPr>
      </w:pPr>
      <w:r>
        <w:rPr>
          <w:rFonts w:ascii="黑体" w:eastAsia="黑体" w:hint="eastAsia"/>
          <w:sz w:val="21"/>
        </w:rPr>
        <w:t>网络通讯协议</w:t>
      </w:r>
    </w:p>
    <w:p>
      <w:pPr>
        <w:pStyle w:val="BodyText"/>
        <w:spacing w:before="8"/>
        <w:rPr>
          <w:rFonts w:ascii="黑体"/>
          <w:sz w:val="14"/>
        </w:rPr>
      </w:pPr>
    </w:p>
    <w:p>
      <w:pPr>
        <w:pStyle w:val="BodyText"/>
        <w:ind w:left="538"/>
      </w:pPr>
      <w:r>
        <w:rPr/>
        <w:t>网络通讯协议应满足以下要求：</w:t>
      </w:r>
    </w:p>
    <w:p>
      <w:pPr>
        <w:pStyle w:val="BodyText"/>
        <w:spacing w:line="273" w:lineRule="auto" w:before="36"/>
        <w:ind w:left="952" w:right="101" w:hanging="409"/>
      </w:pPr>
      <w:r>
        <w:rPr>
          <w:spacing w:val="-5"/>
        </w:rPr>
        <w:t>——应在客户端与服务器之间建立安全的信息传输通道，通过公开网络进行数据传输时应进行双向</w:t>
      </w:r>
      <w:r>
        <w:rPr>
          <w:spacing w:val="-1"/>
        </w:rPr>
        <w:t>认证，例如使用安全套接字层或传输层安全</w:t>
      </w:r>
      <w:r>
        <w:rPr/>
        <w:t>（SSL/TLS）、互联网协议安全（IPSec）等协议；</w:t>
      </w:r>
    </w:p>
    <w:p>
      <w:pPr>
        <w:pStyle w:val="BodyText"/>
        <w:spacing w:before="7"/>
        <w:ind w:left="544"/>
      </w:pPr>
      <w:r>
        <w:rPr/>
        <w:t>——如果使用 SSL/TLS 协议，应使用安全的版本，取消对存在安全隐患版本协议的支持。</w:t>
      </w:r>
    </w:p>
    <w:p>
      <w:pPr>
        <w:pStyle w:val="BodyText"/>
        <w:spacing w:before="9"/>
        <w:rPr>
          <w:sz w:val="14"/>
        </w:rPr>
      </w:pPr>
    </w:p>
    <w:p>
      <w:pPr>
        <w:pStyle w:val="ListParagraph"/>
        <w:numPr>
          <w:ilvl w:val="2"/>
          <w:numId w:val="3"/>
        </w:numPr>
        <w:tabs>
          <w:tab w:pos="853" w:val="left" w:leader="none"/>
          <w:tab w:pos="855" w:val="left" w:leader="none"/>
        </w:tabs>
        <w:spacing w:line="240" w:lineRule="auto" w:before="1" w:after="0"/>
        <w:ind w:left="854" w:right="0" w:hanging="736"/>
        <w:jc w:val="left"/>
        <w:rPr>
          <w:rFonts w:ascii="黑体" w:eastAsia="黑体" w:hint="eastAsia"/>
          <w:sz w:val="21"/>
        </w:rPr>
      </w:pPr>
      <w:r>
        <w:rPr>
          <w:rFonts w:ascii="黑体" w:eastAsia="黑体" w:hint="eastAsia"/>
          <w:sz w:val="21"/>
        </w:rPr>
        <w:t>抗抵赖</w:t>
      </w:r>
    </w:p>
    <w:p>
      <w:pPr>
        <w:pStyle w:val="BodyText"/>
        <w:spacing w:before="10"/>
        <w:rPr>
          <w:rFonts w:ascii="黑体"/>
          <w:sz w:val="14"/>
        </w:rPr>
      </w:pPr>
    </w:p>
    <w:p>
      <w:pPr>
        <w:pStyle w:val="BodyText"/>
        <w:ind w:left="538"/>
      </w:pPr>
      <w:r>
        <w:rPr/>
        <w:t>通过客户端发送报文的关键要素宜进行数字签名，以确保支付内容的真实性和抗抵赖性。</w:t>
      </w:r>
    </w:p>
    <w:p>
      <w:pPr>
        <w:pStyle w:val="BodyText"/>
        <w:spacing w:before="10"/>
        <w:rPr>
          <w:sz w:val="26"/>
        </w:rPr>
      </w:pPr>
    </w:p>
    <w:p>
      <w:pPr>
        <w:pStyle w:val="ListParagraph"/>
        <w:numPr>
          <w:ilvl w:val="0"/>
          <w:numId w:val="3"/>
        </w:numPr>
        <w:tabs>
          <w:tab w:pos="433" w:val="left" w:leader="none"/>
          <w:tab w:pos="434" w:val="left" w:leader="none"/>
        </w:tabs>
        <w:spacing w:line="240" w:lineRule="auto" w:before="0" w:after="0"/>
        <w:ind w:left="433" w:right="0" w:hanging="315"/>
        <w:jc w:val="left"/>
        <w:rPr>
          <w:rFonts w:ascii="黑体" w:eastAsia="黑体" w:hint="eastAsia"/>
          <w:sz w:val="21"/>
        </w:rPr>
      </w:pPr>
      <w:r>
        <w:rPr>
          <w:rFonts w:ascii="黑体" w:eastAsia="黑体" w:hint="eastAsia"/>
          <w:sz w:val="21"/>
        </w:rPr>
        <w:t>受理终端安全</w:t>
      </w:r>
    </w:p>
    <w:p>
      <w:pPr>
        <w:pStyle w:val="BodyText"/>
        <w:spacing w:before="7"/>
        <w:rPr>
          <w:rFonts w:ascii="黑体"/>
          <w:sz w:val="26"/>
        </w:rPr>
      </w:pPr>
    </w:p>
    <w:p>
      <w:pPr>
        <w:pStyle w:val="BodyText"/>
        <w:ind w:left="538"/>
      </w:pPr>
      <w:r>
        <w:rPr/>
        <w:t>受理终端安全应满足以下要求：</w:t>
      </w:r>
    </w:p>
    <w:p>
      <w:pPr>
        <w:pStyle w:val="BodyText"/>
        <w:spacing w:line="273" w:lineRule="auto" w:before="36"/>
        <w:ind w:left="952" w:right="190" w:hanging="409"/>
        <w:jc w:val="both"/>
      </w:pPr>
      <w:r>
        <w:rPr/>
        <w:t>——参照《中国人民银行关于强化银行卡受理终端安全管理的通知》（银发〔2017〕21 号）等相</w:t>
      </w:r>
      <w:r>
        <w:rPr>
          <w:spacing w:val="-9"/>
        </w:rPr>
        <w:t>关要求，应从终端产品选型、验收、现场检查等环节加强安全管理，确保终端的技术标准符合性；</w:t>
      </w:r>
    </w:p>
    <w:p>
      <w:pPr>
        <w:pStyle w:val="BodyText"/>
        <w:spacing w:before="7"/>
        <w:ind w:left="544"/>
      </w:pPr>
      <w:r>
        <w:rPr/>
        <w:t>——受理终端应使用经国家密码管理机构认可的商用密码产品；</w:t>
      </w:r>
    </w:p>
    <w:p>
      <w:pPr>
        <w:pStyle w:val="BodyText"/>
        <w:spacing w:before="37"/>
        <w:ind w:left="544"/>
      </w:pPr>
      <w:r>
        <w:rPr/>
        <w:t>——应符合《条码支付受理终端技术规范（试行）》相关要求。</w:t>
      </w:r>
    </w:p>
    <w:p>
      <w:pPr>
        <w:pStyle w:val="BodyText"/>
        <w:spacing w:before="10"/>
        <w:rPr>
          <w:sz w:val="26"/>
        </w:rPr>
      </w:pPr>
    </w:p>
    <w:p>
      <w:pPr>
        <w:pStyle w:val="ListParagraph"/>
        <w:numPr>
          <w:ilvl w:val="0"/>
          <w:numId w:val="3"/>
        </w:numPr>
        <w:tabs>
          <w:tab w:pos="433" w:val="left" w:leader="none"/>
          <w:tab w:pos="434" w:val="left" w:leader="none"/>
        </w:tabs>
        <w:spacing w:line="240" w:lineRule="auto" w:before="0" w:after="0"/>
        <w:ind w:left="433" w:right="0" w:hanging="315"/>
        <w:jc w:val="left"/>
        <w:rPr>
          <w:rFonts w:ascii="黑体" w:eastAsia="黑体" w:hint="eastAsia"/>
          <w:sz w:val="21"/>
        </w:rPr>
      </w:pPr>
      <w:r>
        <w:rPr>
          <w:rFonts w:ascii="黑体" w:eastAsia="黑体" w:hint="eastAsia"/>
          <w:sz w:val="21"/>
        </w:rPr>
        <w:t>交易安全</w:t>
      </w:r>
    </w:p>
    <w:p>
      <w:pPr>
        <w:pStyle w:val="BodyText"/>
        <w:spacing w:before="7"/>
        <w:rPr>
          <w:rFonts w:ascii="黑体"/>
          <w:sz w:val="26"/>
        </w:rPr>
      </w:pPr>
    </w:p>
    <w:p>
      <w:pPr>
        <w:pStyle w:val="ListParagraph"/>
        <w:numPr>
          <w:ilvl w:val="1"/>
          <w:numId w:val="4"/>
        </w:numPr>
        <w:tabs>
          <w:tab w:pos="643" w:val="left" w:leader="none"/>
          <w:tab w:pos="644" w:val="left" w:leader="none"/>
        </w:tabs>
        <w:spacing w:line="240" w:lineRule="auto" w:before="0" w:after="0"/>
        <w:ind w:left="643" w:right="0" w:hanging="525"/>
        <w:jc w:val="left"/>
        <w:rPr>
          <w:rFonts w:ascii="黑体" w:eastAsia="黑体" w:hint="eastAsia"/>
          <w:sz w:val="21"/>
        </w:rPr>
      </w:pPr>
      <w:r>
        <w:rPr>
          <w:rFonts w:ascii="黑体" w:eastAsia="黑体" w:hint="eastAsia"/>
          <w:sz w:val="21"/>
        </w:rPr>
        <w:t>基本要求</w:t>
      </w:r>
    </w:p>
    <w:p>
      <w:pPr>
        <w:pStyle w:val="BodyText"/>
        <w:spacing w:before="9"/>
        <w:rPr>
          <w:rFonts w:ascii="黑体"/>
          <w:sz w:val="14"/>
        </w:rPr>
      </w:pPr>
    </w:p>
    <w:p>
      <w:pPr>
        <w:pStyle w:val="BodyText"/>
        <w:ind w:left="538"/>
      </w:pPr>
      <w:r>
        <w:rPr/>
        <w:t>交易安全应满足以下要求：</w:t>
      </w:r>
    </w:p>
    <w:p>
      <w:pPr>
        <w:pStyle w:val="BodyText"/>
        <w:spacing w:line="273" w:lineRule="auto" w:before="36"/>
        <w:ind w:left="952" w:right="188" w:hanging="409"/>
        <w:jc w:val="both"/>
      </w:pPr>
      <w:r>
        <w:rPr>
          <w:spacing w:val="-8"/>
        </w:rPr>
        <w:t>——应遵守国家安全、国家网络安全相关法律法规，严格落实《中国人民银行关于进一步加强银行</w:t>
      </w:r>
      <w:r>
        <w:rPr>
          <w:spacing w:val="-9"/>
        </w:rPr>
        <w:t>卡风险管理的通知》</w:t>
      </w:r>
      <w:r>
        <w:rPr/>
        <w:t>（</w:t>
      </w:r>
      <w:r>
        <w:rPr>
          <w:spacing w:val="-2"/>
        </w:rPr>
        <w:t>银发〔</w:t>
      </w:r>
      <w:r>
        <w:rPr/>
        <w:t>2016</w:t>
      </w:r>
      <w:r>
        <w:rPr>
          <w:spacing w:val="-5"/>
        </w:rPr>
        <w:t>〕</w:t>
      </w:r>
      <w:r>
        <w:rPr/>
        <w:t>170</w:t>
      </w:r>
      <w:r>
        <w:rPr>
          <w:spacing w:val="-36"/>
        </w:rPr>
        <w:t> 号</w:t>
      </w:r>
      <w:r>
        <w:rPr>
          <w:spacing w:val="-5"/>
        </w:rPr>
        <w:t>）</w:t>
      </w:r>
      <w:r>
        <w:rPr>
          <w:spacing w:val="-2"/>
        </w:rPr>
        <w:t>等相关规定，确保条码支付业务设施的安全、稳定和高效运行；</w:t>
      </w:r>
    </w:p>
    <w:p>
      <w:pPr>
        <w:pStyle w:val="BodyText"/>
        <w:spacing w:line="273" w:lineRule="auto" w:before="7"/>
        <w:ind w:left="952" w:right="188" w:hanging="408"/>
      </w:pPr>
      <w:r>
        <w:rPr>
          <w:spacing w:val="-9"/>
        </w:rPr>
        <w:t>——应按照 </w:t>
      </w:r>
      <w:r>
        <w:rPr/>
        <w:t>JR/T</w:t>
      </w:r>
      <w:r>
        <w:rPr>
          <w:spacing w:val="-55"/>
        </w:rPr>
        <w:t> </w:t>
      </w:r>
      <w:r>
        <w:rPr/>
        <w:t>0149</w:t>
      </w:r>
      <w:r>
        <w:rPr>
          <w:spacing w:val="-12"/>
        </w:rPr>
        <w:t> 的相关要求，对银行卡卡号、卡片验证码、支付账户等信息进行脱敏，支持基于支付标记化技术的交易处理，采取技术手段从源头控制信息泄露和欺诈交易风险；</w:t>
      </w:r>
    </w:p>
    <w:p>
      <w:pPr>
        <w:pStyle w:val="BodyText"/>
        <w:spacing w:before="7"/>
        <w:ind w:left="544"/>
      </w:pPr>
      <w:r>
        <w:rPr/>
        <w:t>——条码支付涉及的软硬件应使用经国家密码管理机构认可的商用密码产品；</w:t>
      </w:r>
    </w:p>
    <w:p>
      <w:pPr>
        <w:pStyle w:val="BodyText"/>
        <w:spacing w:before="36"/>
        <w:ind w:left="544"/>
      </w:pPr>
      <w:r>
        <w:rPr/>
        <w:t>——应定期开展支付敏感信息安全的内部审计；</w:t>
      </w:r>
    </w:p>
    <w:p>
      <w:pPr>
        <w:pStyle w:val="BodyText"/>
        <w:spacing w:line="273" w:lineRule="auto" w:before="36"/>
        <w:ind w:left="952" w:right="190" w:hanging="409"/>
      </w:pPr>
      <w:r>
        <w:rPr>
          <w:spacing w:val="-8"/>
        </w:rPr>
        <w:t>——支付敏感信息的采集、存储、传输、使用等环节应符合《中国人民银行关于进一步加强银行卡风险管理的通知》（银发〔2016〕170</w:t>
      </w:r>
      <w:r>
        <w:rPr>
          <w:spacing w:val="-26"/>
        </w:rPr>
        <w:t> 号</w:t>
      </w:r>
      <w:r>
        <w:rPr/>
        <w:t>）的要求。</w:t>
      </w:r>
    </w:p>
    <w:p>
      <w:pPr>
        <w:pStyle w:val="ListParagraph"/>
        <w:numPr>
          <w:ilvl w:val="1"/>
          <w:numId w:val="4"/>
        </w:numPr>
        <w:tabs>
          <w:tab w:pos="643" w:val="left" w:leader="none"/>
          <w:tab w:pos="644" w:val="left" w:leader="none"/>
        </w:tabs>
        <w:spacing w:line="240" w:lineRule="auto" w:before="163" w:after="0"/>
        <w:ind w:left="643" w:right="0" w:hanging="525"/>
        <w:jc w:val="left"/>
        <w:rPr>
          <w:rFonts w:ascii="黑体" w:eastAsia="黑体" w:hint="eastAsia"/>
          <w:sz w:val="21"/>
        </w:rPr>
      </w:pPr>
      <w:r>
        <w:rPr>
          <w:rFonts w:ascii="黑体" w:eastAsia="黑体" w:hint="eastAsia"/>
          <w:sz w:val="21"/>
        </w:rPr>
        <w:t>码制</w:t>
      </w:r>
    </w:p>
    <w:p>
      <w:pPr>
        <w:pStyle w:val="BodyText"/>
        <w:spacing w:before="9"/>
        <w:rPr>
          <w:rFonts w:ascii="黑体"/>
          <w:sz w:val="14"/>
        </w:rPr>
      </w:pPr>
    </w:p>
    <w:p>
      <w:pPr>
        <w:pStyle w:val="BodyText"/>
        <w:spacing w:before="1"/>
        <w:ind w:left="538"/>
      </w:pPr>
      <w:r>
        <w:rPr/>
        <w:t>条码应使用符合国家标准的码制。</w:t>
      </w:r>
    </w:p>
    <w:p>
      <w:pPr>
        <w:pStyle w:val="BodyText"/>
        <w:spacing w:before="10"/>
        <w:rPr>
          <w:sz w:val="14"/>
        </w:rPr>
      </w:pPr>
    </w:p>
    <w:p>
      <w:pPr>
        <w:pStyle w:val="ListParagraph"/>
        <w:numPr>
          <w:ilvl w:val="1"/>
          <w:numId w:val="4"/>
        </w:numPr>
        <w:tabs>
          <w:tab w:pos="643" w:val="left" w:leader="none"/>
          <w:tab w:pos="644" w:val="left" w:leader="none"/>
        </w:tabs>
        <w:spacing w:line="240" w:lineRule="auto" w:before="0" w:after="0"/>
        <w:ind w:left="643" w:right="0" w:hanging="525"/>
        <w:jc w:val="left"/>
        <w:rPr>
          <w:rFonts w:ascii="黑体" w:eastAsia="黑体" w:hint="eastAsia"/>
          <w:sz w:val="21"/>
        </w:rPr>
      </w:pPr>
      <w:r>
        <w:rPr>
          <w:rFonts w:ascii="黑体" w:eastAsia="黑体" w:hint="eastAsia"/>
          <w:sz w:val="21"/>
        </w:rPr>
        <w:t>数据录入</w:t>
      </w:r>
    </w:p>
    <w:p>
      <w:pPr>
        <w:pStyle w:val="BodyText"/>
        <w:spacing w:before="9"/>
        <w:rPr>
          <w:rFonts w:ascii="黑体"/>
          <w:sz w:val="14"/>
        </w:rPr>
      </w:pPr>
    </w:p>
    <w:p>
      <w:pPr>
        <w:pStyle w:val="BodyText"/>
        <w:spacing w:before="1"/>
        <w:ind w:left="538"/>
      </w:pPr>
      <w:r>
        <w:rPr/>
        <w:t>数据录入应满足以下要求：</w:t>
      </w:r>
    </w:p>
    <w:p>
      <w:pPr>
        <w:pStyle w:val="BodyText"/>
        <w:spacing w:before="37"/>
        <w:ind w:left="544"/>
      </w:pPr>
      <w:r>
        <w:rPr/>
        <w:t>——客户输入交易密码等信息，客户端不应明文显示；</w:t>
      </w:r>
    </w:p>
    <w:p>
      <w:pPr>
        <w:pStyle w:val="BodyText"/>
        <w:spacing w:line="273" w:lineRule="auto" w:before="37"/>
        <w:ind w:left="952" w:right="191" w:hanging="409"/>
      </w:pPr>
      <w:r>
        <w:rPr>
          <w:spacing w:val="-6"/>
        </w:rPr>
        <w:t>——客户输入支付敏感信息时，应采用信息输入安全防护、即时数据加密等安全措施防止数据被非法截获；</w:t>
      </w:r>
    </w:p>
    <w:p>
      <w:pPr>
        <w:pStyle w:val="BodyText"/>
        <w:spacing w:before="8"/>
        <w:ind w:left="544"/>
      </w:pPr>
      <w:r>
        <w:rPr/>
        <w:t>——客户输入支付敏感信息时，应采取防篡改机制防止数据被非法篡改；</w:t>
      </w:r>
    </w:p>
    <w:p>
      <w:pPr>
        <w:pStyle w:val="BodyText"/>
        <w:spacing w:line="273" w:lineRule="auto" w:before="37"/>
        <w:ind w:left="952" w:right="188" w:hanging="409"/>
      </w:pPr>
      <w:r>
        <w:rPr>
          <w:spacing w:val="-7"/>
        </w:rPr>
        <w:t>——客户输入关键交易信息时，如收款人信息、交易金额等，应采取防篡改机制防止数据被非法篡改。</w:t>
      </w:r>
    </w:p>
    <w:p>
      <w:pPr>
        <w:pStyle w:val="ListParagraph"/>
        <w:numPr>
          <w:ilvl w:val="1"/>
          <w:numId w:val="4"/>
        </w:numPr>
        <w:tabs>
          <w:tab w:pos="643" w:val="left" w:leader="none"/>
          <w:tab w:pos="644" w:val="left" w:leader="none"/>
        </w:tabs>
        <w:spacing w:line="240" w:lineRule="auto" w:before="163" w:after="0"/>
        <w:ind w:left="643" w:right="0" w:hanging="525"/>
        <w:jc w:val="left"/>
        <w:rPr>
          <w:rFonts w:ascii="黑体" w:eastAsia="黑体" w:hint="eastAsia"/>
          <w:sz w:val="21"/>
        </w:rPr>
      </w:pPr>
      <w:r>
        <w:rPr>
          <w:rFonts w:ascii="黑体" w:eastAsia="黑体" w:hint="eastAsia"/>
          <w:sz w:val="21"/>
        </w:rPr>
        <w:t>数据访问</w:t>
      </w:r>
    </w:p>
    <w:p>
      <w:pPr>
        <w:pStyle w:val="BodyText"/>
        <w:spacing w:before="9"/>
        <w:rPr>
          <w:rFonts w:ascii="黑体"/>
          <w:sz w:val="14"/>
        </w:rPr>
      </w:pPr>
    </w:p>
    <w:p>
      <w:pPr>
        <w:pStyle w:val="BodyText"/>
        <w:ind w:left="538"/>
      </w:pPr>
      <w:r>
        <w:rPr/>
        <w:t>数据访问应满足以下要求：</w:t>
      </w:r>
    </w:p>
    <w:p>
      <w:pPr>
        <w:spacing w:after="0"/>
        <w:sectPr>
          <w:pgSz w:w="11910" w:h="16840"/>
          <w:pgMar w:header="0" w:footer="1101" w:top="540" w:bottom="1080" w:left="1300" w:right="940"/>
        </w:sectPr>
      </w:pPr>
    </w:p>
    <w:p>
      <w:pPr>
        <w:pStyle w:val="BodyText"/>
        <w:spacing w:before="12"/>
        <w:ind w:left="544"/>
      </w:pPr>
      <w:r>
        <w:rPr/>
        <w:t>——应根据业务需要保证支付敏感信息仅供授权用户或授权应用组件访问；</w:t>
      </w:r>
    </w:p>
    <w:p>
      <w:pPr>
        <w:pStyle w:val="BodyText"/>
        <w:spacing w:before="35"/>
        <w:ind w:left="544"/>
      </w:pPr>
      <w:r>
        <w:rPr/>
        <w:t>——支付敏感信息应按业务需求进行保存和使用，显示时应进行屏蔽处理。</w:t>
      </w:r>
    </w:p>
    <w:p>
      <w:pPr>
        <w:pStyle w:val="BodyText"/>
        <w:spacing w:before="9"/>
        <w:rPr>
          <w:sz w:val="14"/>
        </w:rPr>
      </w:pPr>
    </w:p>
    <w:p>
      <w:pPr>
        <w:pStyle w:val="ListParagraph"/>
        <w:numPr>
          <w:ilvl w:val="1"/>
          <w:numId w:val="4"/>
        </w:numPr>
        <w:tabs>
          <w:tab w:pos="643" w:val="left" w:leader="none"/>
          <w:tab w:pos="644" w:val="left" w:leader="none"/>
        </w:tabs>
        <w:spacing w:line="240" w:lineRule="auto" w:before="0" w:after="0"/>
        <w:ind w:left="643" w:right="0" w:hanging="525"/>
        <w:jc w:val="left"/>
        <w:rPr>
          <w:rFonts w:ascii="黑体" w:eastAsia="黑体" w:hint="eastAsia"/>
          <w:sz w:val="21"/>
        </w:rPr>
      </w:pPr>
      <w:r>
        <w:rPr>
          <w:rFonts w:ascii="黑体" w:eastAsia="黑体" w:hint="eastAsia"/>
          <w:sz w:val="21"/>
        </w:rPr>
        <w:t>数据存储</w:t>
      </w:r>
    </w:p>
    <w:p>
      <w:pPr>
        <w:pStyle w:val="BodyText"/>
        <w:spacing w:before="9"/>
        <w:rPr>
          <w:rFonts w:ascii="黑体"/>
          <w:sz w:val="14"/>
        </w:rPr>
      </w:pPr>
    </w:p>
    <w:p>
      <w:pPr>
        <w:pStyle w:val="BodyText"/>
        <w:ind w:left="538"/>
      </w:pPr>
      <w:r>
        <w:rPr/>
        <w:t>数据存储应满足以下要求：</w:t>
      </w:r>
    </w:p>
    <w:p>
      <w:pPr>
        <w:pStyle w:val="BodyText"/>
        <w:spacing w:line="273" w:lineRule="auto" w:before="37"/>
        <w:ind w:left="952" w:right="108" w:hanging="409"/>
      </w:pPr>
      <w:r>
        <w:rPr>
          <w:spacing w:val="-8"/>
        </w:rPr>
        <w:t>——在满足法律、管理规定的前提下，客户端应保留最少的客户信息，并限制数据存储量和保留时间；</w:t>
      </w:r>
    </w:p>
    <w:p>
      <w:pPr>
        <w:pStyle w:val="BodyText"/>
        <w:spacing w:before="8"/>
        <w:ind w:left="544"/>
      </w:pPr>
      <w:r>
        <w:rPr/>
        <w:t>——客户端在使用支付敏感信息后，应及时清除；</w:t>
      </w:r>
    </w:p>
    <w:p>
      <w:pPr>
        <w:pStyle w:val="BodyText"/>
        <w:spacing w:line="273" w:lineRule="auto" w:before="37"/>
        <w:ind w:left="952" w:right="111" w:hanging="409"/>
      </w:pPr>
      <w:r>
        <w:rPr>
          <w:spacing w:val="-5"/>
        </w:rPr>
        <w:t>——不得留存非本机构的支付敏感信息，确有必要留存的，应取得客户本人及账户管理机构的授权并进行加密或不可逆变换。</w:t>
      </w:r>
    </w:p>
    <w:p>
      <w:pPr>
        <w:pStyle w:val="ListParagraph"/>
        <w:numPr>
          <w:ilvl w:val="1"/>
          <w:numId w:val="4"/>
        </w:numPr>
        <w:tabs>
          <w:tab w:pos="643" w:val="left" w:leader="none"/>
          <w:tab w:pos="644" w:val="left" w:leader="none"/>
        </w:tabs>
        <w:spacing w:line="240" w:lineRule="auto" w:before="163" w:after="0"/>
        <w:ind w:left="643" w:right="0" w:hanging="525"/>
        <w:jc w:val="left"/>
        <w:rPr>
          <w:rFonts w:ascii="黑体" w:eastAsia="黑体" w:hint="eastAsia"/>
          <w:sz w:val="21"/>
        </w:rPr>
      </w:pPr>
      <w:r>
        <w:rPr>
          <w:rFonts w:ascii="黑体" w:eastAsia="黑体" w:hint="eastAsia"/>
          <w:sz w:val="21"/>
        </w:rPr>
        <w:t>数据传输</w:t>
      </w:r>
    </w:p>
    <w:p>
      <w:pPr>
        <w:pStyle w:val="BodyText"/>
        <w:spacing w:before="9"/>
        <w:rPr>
          <w:rFonts w:ascii="黑体"/>
          <w:sz w:val="14"/>
        </w:rPr>
      </w:pPr>
    </w:p>
    <w:p>
      <w:pPr>
        <w:pStyle w:val="BodyText"/>
        <w:ind w:left="538"/>
      </w:pPr>
      <w:r>
        <w:rPr/>
        <w:t>数据传输应满足以下要求：</w:t>
      </w:r>
    </w:p>
    <w:p>
      <w:pPr>
        <w:pStyle w:val="BodyText"/>
        <w:spacing w:before="36"/>
        <w:ind w:left="544"/>
      </w:pPr>
      <w:r>
        <w:rPr/>
        <w:t>——支付敏感信息通过公共网络传输时应采取加密措施，保证支付敏感信息传输的保密性；</w:t>
      </w:r>
    </w:p>
    <w:p>
      <w:pPr>
        <w:pStyle w:val="BodyText"/>
        <w:spacing w:line="273" w:lineRule="auto" w:before="36"/>
        <w:ind w:left="952" w:right="110" w:hanging="409"/>
      </w:pPr>
      <w:r>
        <w:rPr/>
        <w:t>——支付敏感信息在本地软件其他进程间传输时应采取加密措施，保证支付敏感信息传输的保密性；</w:t>
      </w:r>
    </w:p>
    <w:p>
      <w:pPr>
        <w:pStyle w:val="BodyText"/>
        <w:spacing w:before="7"/>
        <w:ind w:left="544"/>
      </w:pPr>
      <w:r>
        <w:rPr/>
        <w:t>——交易信息在传输时，客户端应采取安全措施如报文鉴别码（MAC）以确保交易信息的完整性。</w:t>
      </w:r>
    </w:p>
    <w:p>
      <w:pPr>
        <w:pStyle w:val="BodyText"/>
        <w:spacing w:before="9"/>
        <w:rPr>
          <w:sz w:val="14"/>
        </w:rPr>
      </w:pPr>
    </w:p>
    <w:p>
      <w:pPr>
        <w:pStyle w:val="ListParagraph"/>
        <w:numPr>
          <w:ilvl w:val="1"/>
          <w:numId w:val="4"/>
        </w:numPr>
        <w:tabs>
          <w:tab w:pos="643" w:val="left" w:leader="none"/>
          <w:tab w:pos="644" w:val="left" w:leader="none"/>
        </w:tabs>
        <w:spacing w:line="240" w:lineRule="auto" w:before="0" w:after="0"/>
        <w:ind w:left="643" w:right="0" w:hanging="525"/>
        <w:jc w:val="left"/>
        <w:rPr>
          <w:rFonts w:ascii="黑体" w:eastAsia="黑体" w:hint="eastAsia"/>
          <w:sz w:val="21"/>
        </w:rPr>
      </w:pPr>
      <w:r>
        <w:rPr>
          <w:rFonts w:ascii="黑体" w:eastAsia="黑体" w:hint="eastAsia"/>
          <w:sz w:val="21"/>
        </w:rPr>
        <w:t>条码Th成</w:t>
      </w:r>
    </w:p>
    <w:p>
      <w:pPr>
        <w:pStyle w:val="BodyText"/>
        <w:spacing w:before="9"/>
        <w:rPr>
          <w:rFonts w:ascii="黑体"/>
          <w:sz w:val="14"/>
        </w:rPr>
      </w:pPr>
    </w:p>
    <w:p>
      <w:pPr>
        <w:pStyle w:val="ListParagraph"/>
        <w:numPr>
          <w:ilvl w:val="2"/>
          <w:numId w:val="4"/>
        </w:numPr>
        <w:tabs>
          <w:tab w:pos="853" w:val="left" w:leader="none"/>
          <w:tab w:pos="854" w:val="left" w:leader="none"/>
        </w:tabs>
        <w:spacing w:line="240" w:lineRule="auto" w:before="0" w:after="0"/>
        <w:ind w:left="853" w:right="0" w:hanging="735"/>
        <w:jc w:val="left"/>
        <w:rPr>
          <w:rFonts w:ascii="黑体" w:eastAsia="黑体" w:hint="eastAsia"/>
          <w:sz w:val="21"/>
        </w:rPr>
      </w:pPr>
      <w:r>
        <w:rPr>
          <w:rFonts w:ascii="黑体" w:eastAsia="黑体" w:hint="eastAsia"/>
          <w:sz w:val="21"/>
        </w:rPr>
        <w:t>基本要求</w:t>
      </w:r>
    </w:p>
    <w:p>
      <w:pPr>
        <w:pStyle w:val="BodyText"/>
        <w:spacing w:before="9"/>
        <w:rPr>
          <w:rFonts w:ascii="黑体"/>
          <w:sz w:val="14"/>
        </w:rPr>
      </w:pPr>
    </w:p>
    <w:p>
      <w:pPr>
        <w:pStyle w:val="BodyText"/>
        <w:spacing w:line="273" w:lineRule="auto"/>
        <w:ind w:left="118" w:right="109" w:firstLine="420"/>
      </w:pPr>
      <w:r>
        <w:rPr>
          <w:spacing w:val="-6"/>
        </w:rPr>
        <w:t>条码支付分为收款扫码和付款扫码。收款扫码是指收款人通过识读付款人移动终端展示的条码完成支付的行为。付款扫码是指付款人通过移动终端识读收款人展示的条码完成支付的行为。</w:t>
      </w:r>
    </w:p>
    <w:p>
      <w:pPr>
        <w:pStyle w:val="BodyText"/>
        <w:spacing w:before="7"/>
        <w:ind w:left="538"/>
      </w:pPr>
      <w:r>
        <w:rPr/>
        <w:t>条码生成时，应满足以下基本要求：</w:t>
      </w:r>
    </w:p>
    <w:p>
      <w:pPr>
        <w:pStyle w:val="BodyText"/>
        <w:spacing w:before="37"/>
        <w:ind w:left="544"/>
      </w:pPr>
      <w:r>
        <w:rPr/>
        <w:t>——应使用支付标记化技术对支付账号、银行卡卡号等信息进行脱敏处理；</w:t>
      </w:r>
    </w:p>
    <w:p>
      <w:pPr>
        <w:pStyle w:val="BodyText"/>
        <w:spacing w:before="37"/>
        <w:ind w:left="544"/>
      </w:pPr>
      <w:r>
        <w:rPr/>
        <w:t>——应确保生成条码软硬件的安全性，防止生成的条码携带病毒、木马等恶意代码；</w:t>
      </w:r>
    </w:p>
    <w:p>
      <w:pPr>
        <w:pStyle w:val="BodyText"/>
        <w:spacing w:before="37"/>
        <w:ind w:left="544"/>
      </w:pPr>
      <w:r>
        <w:rPr/>
        <w:t>——应根据风控能力，严格设置条码使用有效期；</w:t>
      </w:r>
    </w:p>
    <w:p>
      <w:pPr>
        <w:pStyle w:val="BodyText"/>
        <w:spacing w:before="37"/>
        <w:ind w:left="544"/>
      </w:pPr>
      <w:r>
        <w:rPr/>
        <w:t>——应采用有效措施，确保条码信息的真实性、完整性、一致性和不可抵赖性。</w:t>
      </w:r>
    </w:p>
    <w:p>
      <w:pPr>
        <w:pStyle w:val="BodyText"/>
        <w:spacing w:before="9"/>
        <w:rPr>
          <w:sz w:val="14"/>
        </w:rPr>
      </w:pPr>
    </w:p>
    <w:p>
      <w:pPr>
        <w:pStyle w:val="ListParagraph"/>
        <w:numPr>
          <w:ilvl w:val="2"/>
          <w:numId w:val="4"/>
        </w:numPr>
        <w:tabs>
          <w:tab w:pos="853" w:val="left" w:leader="none"/>
          <w:tab w:pos="854" w:val="left" w:leader="none"/>
        </w:tabs>
        <w:spacing w:line="240" w:lineRule="auto" w:before="1" w:after="0"/>
        <w:ind w:left="853" w:right="0" w:hanging="735"/>
        <w:jc w:val="left"/>
        <w:rPr>
          <w:rFonts w:ascii="黑体" w:eastAsia="黑体" w:hint="eastAsia"/>
          <w:sz w:val="21"/>
        </w:rPr>
      </w:pPr>
      <w:r>
        <w:rPr>
          <w:rFonts w:ascii="黑体" w:eastAsia="黑体" w:hint="eastAsia"/>
          <w:sz w:val="21"/>
        </w:rPr>
        <w:t>收款扫码</w:t>
      </w:r>
    </w:p>
    <w:p>
      <w:pPr>
        <w:pStyle w:val="BodyText"/>
        <w:spacing w:before="10"/>
        <w:rPr>
          <w:rFonts w:ascii="黑体"/>
          <w:sz w:val="14"/>
        </w:rPr>
      </w:pPr>
    </w:p>
    <w:p>
      <w:pPr>
        <w:pStyle w:val="BodyText"/>
        <w:spacing w:line="273" w:lineRule="auto"/>
        <w:ind w:left="118" w:right="108" w:firstLine="420"/>
        <w:jc w:val="both"/>
      </w:pPr>
      <w:r>
        <w:rPr>
          <w:spacing w:val="-4"/>
        </w:rPr>
        <w:t>收款扫码的条码生成方式包括服务器端生成条码和移动终端生成条码两大类。其中，服务器端生成</w:t>
      </w:r>
      <w:r>
        <w:rPr>
          <w:spacing w:val="-8"/>
        </w:rPr>
        <w:t>条码方式包括移动终端实时获取、移动终端批量获取；移动终端生成条码方式包括安全单元</w:t>
      </w:r>
      <w:r>
        <w:rPr>
          <w:spacing w:val="-7"/>
        </w:rPr>
        <w:t>（SE）</w:t>
      </w:r>
      <w:r>
        <w:rPr/>
        <w:t>加密动态生成、客户端软件通过生成因子加密动态生成。</w:t>
      </w:r>
    </w:p>
    <w:p>
      <w:pPr>
        <w:pStyle w:val="BodyText"/>
        <w:spacing w:before="7"/>
        <w:ind w:left="538"/>
      </w:pPr>
      <w:r>
        <w:rPr/>
        <w:t>采用收款扫码方式时，应满足以下基本要求：</w:t>
      </w:r>
    </w:p>
    <w:p>
      <w:pPr>
        <w:pStyle w:val="BodyText"/>
        <w:spacing w:before="36"/>
        <w:ind w:left="544"/>
      </w:pPr>
      <w:r>
        <w:rPr/>
        <w:t>——展示条码的客户端应先进行身份验证；</w:t>
      </w:r>
    </w:p>
    <w:p>
      <w:pPr>
        <w:pStyle w:val="BodyText"/>
        <w:spacing w:before="36"/>
        <w:ind w:left="544"/>
      </w:pPr>
      <w:r>
        <w:rPr/>
        <w:t>——条码应限制一次使用且展示周期原则上应小于 1 分钟；</w:t>
      </w:r>
    </w:p>
    <w:p>
      <w:pPr>
        <w:pStyle w:val="BodyText"/>
        <w:spacing w:before="36"/>
        <w:ind w:left="544"/>
      </w:pPr>
      <w:r>
        <w:rPr/>
        <w:t>——应采取有效措施防止展示条码被截屏等方式窃取；</w:t>
      </w:r>
    </w:p>
    <w:p>
      <w:pPr>
        <w:pStyle w:val="BodyText"/>
        <w:spacing w:before="36"/>
        <w:ind w:left="544"/>
      </w:pPr>
      <w:r>
        <w:rPr/>
        <w:t>——应采用加密方式生成条码。</w:t>
      </w:r>
    </w:p>
    <w:p>
      <w:pPr>
        <w:pStyle w:val="BodyText"/>
        <w:spacing w:before="36"/>
        <w:ind w:left="538"/>
      </w:pPr>
      <w:r>
        <w:rPr/>
        <w:t>对于服务器端生成、由移动终端批量获取的条码生成方式，还应满足以下要求：</w:t>
      </w:r>
    </w:p>
    <w:p>
      <w:pPr>
        <w:pStyle w:val="BodyText"/>
        <w:spacing w:line="273" w:lineRule="auto" w:before="36"/>
        <w:ind w:left="952" w:right="110" w:hanging="409"/>
      </w:pPr>
      <w:r>
        <w:rPr/>
        <w:t>——移动终端客户端软件从后台服务器批量获取预生成的条码，应以安全的方式在移动终端上保存；</w:t>
      </w:r>
    </w:p>
    <w:p>
      <w:pPr>
        <w:pStyle w:val="BodyText"/>
        <w:spacing w:before="7"/>
        <w:ind w:left="544"/>
      </w:pPr>
      <w:r>
        <w:rPr/>
        <w:t>——保存的条码应与移动终端的唯一标识信息绑定，防止被非法复制到其他移动终端使用；</w:t>
      </w:r>
    </w:p>
    <w:p>
      <w:pPr>
        <w:pStyle w:val="BodyText"/>
        <w:spacing w:before="37"/>
        <w:ind w:left="544"/>
      </w:pPr>
      <w:r>
        <w:rPr/>
        <w:t>——预生成的条码应定期更换,更新周期宜小于 24 小时；</w:t>
      </w:r>
    </w:p>
    <w:p>
      <w:pPr>
        <w:pStyle w:val="BodyText"/>
        <w:spacing w:before="37"/>
        <w:ind w:left="544"/>
      </w:pPr>
      <w:r>
        <w:rPr/>
        <w:t>——应采取密码技术对预生成的条码进行保护，防止受到未授权的访问；</w:t>
      </w:r>
    </w:p>
    <w:p>
      <w:pPr>
        <w:pStyle w:val="BodyText"/>
        <w:spacing w:line="273" w:lineRule="auto" w:before="37"/>
        <w:ind w:left="538" w:right="217" w:firstLine="6"/>
      </w:pPr>
      <w:r>
        <w:rPr/>
        <w:t>——从后台服务器获取条码时，后台服务器应对客户端软件进行身份验证，防止恶意获取条码。对于移动终端客户端软件通过生成因子加密动态生成条码的方式，还应满足以下要求：</w:t>
      </w:r>
    </w:p>
    <w:p>
      <w:pPr>
        <w:pStyle w:val="BodyText"/>
        <w:spacing w:line="273" w:lineRule="auto" w:before="7"/>
        <w:ind w:left="952" w:right="111" w:hanging="409"/>
      </w:pPr>
      <w:r>
        <w:rPr>
          <w:spacing w:val="-4"/>
        </w:rPr>
        <w:t>——移动终端客户端软件应从后台服务器获取条码生成因子，以安全的方式保存，并通过生成因子加密动态生成条码；</w:t>
      </w:r>
    </w:p>
    <w:p>
      <w:pPr>
        <w:pStyle w:val="BodyText"/>
        <w:spacing w:before="7"/>
        <w:ind w:left="544"/>
      </w:pPr>
      <w:r>
        <w:rPr/>
        <w:t>——条码生成因子应与移动终端的唯一标识信息绑定，防止被非法复制到其他移动终端使用；</w:t>
      </w:r>
    </w:p>
    <w:p>
      <w:pPr>
        <w:spacing w:after="0"/>
        <w:sectPr>
          <w:pgSz w:w="11910" w:h="16840"/>
          <w:pgMar w:header="0" w:footer="1101" w:top="540" w:bottom="1080" w:left="1300" w:right="1020"/>
        </w:sectPr>
      </w:pPr>
    </w:p>
    <w:p>
      <w:pPr>
        <w:pStyle w:val="BodyText"/>
        <w:spacing w:before="12"/>
        <w:ind w:left="544"/>
      </w:pPr>
      <w:r>
        <w:rPr/>
        <w:t>——条码生成因子应定期更换，更新周期宜小于 7 天；</w:t>
      </w:r>
    </w:p>
    <w:p>
      <w:pPr>
        <w:pStyle w:val="BodyText"/>
        <w:spacing w:before="35"/>
        <w:ind w:left="544"/>
      </w:pPr>
      <w:r>
        <w:rPr/>
        <w:t>——应采取密码技术对生成因子进行保护，防止生成因子受到未授权的访问。</w:t>
      </w:r>
    </w:p>
    <w:p>
      <w:pPr>
        <w:pStyle w:val="BodyText"/>
        <w:spacing w:before="9"/>
        <w:rPr>
          <w:sz w:val="14"/>
        </w:rPr>
      </w:pPr>
    </w:p>
    <w:p>
      <w:pPr>
        <w:pStyle w:val="ListParagraph"/>
        <w:numPr>
          <w:ilvl w:val="2"/>
          <w:numId w:val="4"/>
        </w:numPr>
        <w:tabs>
          <w:tab w:pos="853" w:val="left" w:leader="none"/>
          <w:tab w:pos="854" w:val="left" w:leader="none"/>
        </w:tabs>
        <w:spacing w:line="240" w:lineRule="auto" w:before="0" w:after="0"/>
        <w:ind w:left="853" w:right="0" w:hanging="735"/>
        <w:jc w:val="left"/>
        <w:rPr>
          <w:rFonts w:ascii="黑体" w:eastAsia="黑体" w:hint="eastAsia"/>
          <w:sz w:val="21"/>
        </w:rPr>
      </w:pPr>
      <w:r>
        <w:rPr>
          <w:rFonts w:ascii="黑体" w:eastAsia="黑体" w:hint="eastAsia"/>
          <w:sz w:val="21"/>
        </w:rPr>
        <w:t>付款扫码</w:t>
      </w:r>
    </w:p>
    <w:p>
      <w:pPr>
        <w:pStyle w:val="BodyText"/>
        <w:spacing w:before="9"/>
        <w:rPr>
          <w:rFonts w:ascii="黑体"/>
          <w:sz w:val="14"/>
        </w:rPr>
      </w:pPr>
    </w:p>
    <w:p>
      <w:pPr>
        <w:pStyle w:val="BodyText"/>
        <w:ind w:left="538"/>
      </w:pPr>
      <w:r>
        <w:rPr/>
        <w:t>采用付款扫码方式时，条码生成应满足以下要求：</w:t>
      </w:r>
    </w:p>
    <w:p>
      <w:pPr>
        <w:pStyle w:val="BodyText"/>
        <w:spacing w:before="37"/>
        <w:ind w:left="544"/>
      </w:pPr>
      <w:r>
        <w:rPr/>
        <w:t>——采用显码设备展示条码时：</w:t>
      </w:r>
    </w:p>
    <w:p>
      <w:pPr>
        <w:pStyle w:val="ListParagraph"/>
        <w:numPr>
          <w:ilvl w:val="3"/>
          <w:numId w:val="4"/>
        </w:numPr>
        <w:tabs>
          <w:tab w:pos="1378" w:val="left" w:leader="none"/>
          <w:tab w:pos="1379" w:val="left" w:leader="none"/>
        </w:tabs>
        <w:spacing w:line="240" w:lineRule="auto" w:before="37" w:after="0"/>
        <w:ind w:left="1382" w:right="0" w:hanging="413"/>
        <w:jc w:val="left"/>
        <w:rPr>
          <w:sz w:val="21"/>
        </w:rPr>
      </w:pPr>
      <w:r>
        <w:rPr>
          <w:sz w:val="21"/>
        </w:rPr>
        <w:t>条码应加密、动态生成，原则上应实时生成或从后台服务器获取，并限一次性使用。</w:t>
      </w:r>
    </w:p>
    <w:p>
      <w:pPr>
        <w:pStyle w:val="BodyText"/>
        <w:spacing w:before="20"/>
        <w:ind w:left="544"/>
      </w:pPr>
      <w:r>
        <w:rPr/>
        <w:t>——采用静态条码时：</w:t>
      </w:r>
    </w:p>
    <w:p>
      <w:pPr>
        <w:pStyle w:val="ListParagraph"/>
        <w:numPr>
          <w:ilvl w:val="3"/>
          <w:numId w:val="4"/>
        </w:numPr>
        <w:tabs>
          <w:tab w:pos="1378" w:val="left" w:leader="none"/>
          <w:tab w:pos="1379" w:val="left" w:leader="none"/>
        </w:tabs>
        <w:spacing w:line="240" w:lineRule="auto" w:before="37" w:after="0"/>
        <w:ind w:left="1378" w:right="0" w:hanging="409"/>
        <w:jc w:val="left"/>
        <w:rPr>
          <w:sz w:val="21"/>
        </w:rPr>
      </w:pPr>
      <w:r>
        <w:rPr>
          <w:sz w:val="21"/>
        </w:rPr>
        <w:t>条码应由后台服务器加密生成；</w:t>
      </w:r>
    </w:p>
    <w:p>
      <w:pPr>
        <w:pStyle w:val="ListParagraph"/>
        <w:numPr>
          <w:ilvl w:val="3"/>
          <w:numId w:val="4"/>
        </w:numPr>
        <w:tabs>
          <w:tab w:pos="1378" w:val="left" w:leader="none"/>
          <w:tab w:pos="1379" w:val="left" w:leader="none"/>
        </w:tabs>
        <w:spacing w:line="240" w:lineRule="auto" w:before="20" w:after="0"/>
        <w:ind w:left="1378" w:right="0" w:hanging="409"/>
        <w:jc w:val="left"/>
        <w:rPr>
          <w:sz w:val="21"/>
        </w:rPr>
      </w:pPr>
      <w:r>
        <w:rPr>
          <w:spacing w:val="-3"/>
          <w:sz w:val="21"/>
        </w:rPr>
        <w:t>宜采用防伪纸张展示条码，可参考附录 </w:t>
      </w:r>
      <w:r>
        <w:rPr>
          <w:sz w:val="21"/>
        </w:rPr>
        <w:t>A；</w:t>
      </w:r>
    </w:p>
    <w:p>
      <w:pPr>
        <w:pStyle w:val="ListParagraph"/>
        <w:numPr>
          <w:ilvl w:val="3"/>
          <w:numId w:val="4"/>
        </w:numPr>
        <w:tabs>
          <w:tab w:pos="1379" w:val="left" w:leader="none"/>
        </w:tabs>
        <w:spacing w:line="264" w:lineRule="auto" w:before="20" w:after="0"/>
        <w:ind w:left="1382" w:right="209" w:hanging="413"/>
        <w:jc w:val="both"/>
        <w:rPr>
          <w:sz w:val="21"/>
        </w:rPr>
      </w:pPr>
      <w:r>
        <w:rPr>
          <w:spacing w:val="-5"/>
          <w:sz w:val="21"/>
        </w:rPr>
        <w:t>展示条码的介质应放置在商户收银员视线范围内，并采用防护罩等物理防护手段避免条码</w:t>
      </w:r>
      <w:r>
        <w:rPr>
          <w:spacing w:val="-12"/>
          <w:sz w:val="21"/>
        </w:rPr>
        <w:t>被覆盖或替换，商户应定期对介质进行检查；宜使用防伪封签对防护罩等物理防护手段进</w:t>
      </w:r>
      <w:r>
        <w:rPr>
          <w:spacing w:val="-14"/>
          <w:sz w:val="21"/>
        </w:rPr>
        <w:t>行标记，及时发现物理防护手段被人为破坏，可参考附录 </w:t>
      </w:r>
      <w:r>
        <w:rPr>
          <w:sz w:val="21"/>
        </w:rPr>
        <w:t>A；</w:t>
      </w:r>
    </w:p>
    <w:p>
      <w:pPr>
        <w:pStyle w:val="ListParagraph"/>
        <w:numPr>
          <w:ilvl w:val="3"/>
          <w:numId w:val="4"/>
        </w:numPr>
        <w:tabs>
          <w:tab w:pos="1378" w:val="left" w:leader="none"/>
          <w:tab w:pos="1379" w:val="left" w:leader="none"/>
        </w:tabs>
        <w:spacing w:line="240" w:lineRule="auto" w:before="16" w:after="0"/>
        <w:ind w:left="1378" w:right="0" w:hanging="409"/>
        <w:jc w:val="left"/>
        <w:rPr>
          <w:sz w:val="21"/>
        </w:rPr>
      </w:pPr>
      <w:r>
        <w:rPr>
          <w:sz w:val="21"/>
        </w:rPr>
        <w:t>应在介质显著位置明显展示收款人信息，便于客户核对信息。</w:t>
      </w:r>
    </w:p>
    <w:p>
      <w:pPr>
        <w:pStyle w:val="ListParagraph"/>
        <w:numPr>
          <w:ilvl w:val="1"/>
          <w:numId w:val="5"/>
        </w:numPr>
        <w:tabs>
          <w:tab w:pos="643" w:val="left" w:leader="none"/>
          <w:tab w:pos="644" w:val="left" w:leader="none"/>
        </w:tabs>
        <w:spacing w:line="240" w:lineRule="auto" w:before="176" w:after="0"/>
        <w:ind w:left="643" w:right="0" w:hanging="525"/>
        <w:jc w:val="left"/>
        <w:rPr>
          <w:rFonts w:ascii="黑体" w:eastAsia="黑体" w:hint="eastAsia"/>
          <w:sz w:val="21"/>
        </w:rPr>
      </w:pPr>
      <w:r>
        <w:rPr>
          <w:rFonts w:ascii="黑体" w:eastAsia="黑体" w:hint="eastAsia"/>
          <w:sz w:val="21"/>
        </w:rPr>
        <w:t>条码识读与解析</w:t>
      </w:r>
    </w:p>
    <w:p>
      <w:pPr>
        <w:pStyle w:val="BodyText"/>
        <w:spacing w:before="9"/>
        <w:rPr>
          <w:rFonts w:ascii="黑体"/>
          <w:sz w:val="14"/>
        </w:rPr>
      </w:pPr>
    </w:p>
    <w:p>
      <w:pPr>
        <w:pStyle w:val="BodyText"/>
        <w:spacing w:line="273" w:lineRule="auto"/>
        <w:ind w:left="538" w:right="3473"/>
      </w:pPr>
      <w:r>
        <w:rPr/>
        <w:t>条码识读设备应保证识读结果的保密性，避免条码信息泄露。条码解析时应满足以下要求：</w:t>
      </w:r>
    </w:p>
    <w:p>
      <w:pPr>
        <w:pStyle w:val="BodyText"/>
        <w:spacing w:before="7"/>
        <w:ind w:left="544"/>
      </w:pPr>
      <w:r>
        <w:rPr/>
        <w:t>——应对条码的完整性进行校验；</w:t>
      </w:r>
    </w:p>
    <w:p>
      <w:pPr>
        <w:pStyle w:val="BodyText"/>
        <w:spacing w:before="37"/>
        <w:ind w:left="544"/>
      </w:pPr>
      <w:r>
        <w:rPr/>
        <w:t>——应对条码的真实性进行校验；</w:t>
      </w:r>
    </w:p>
    <w:p>
      <w:pPr>
        <w:pStyle w:val="BodyText"/>
        <w:spacing w:before="37"/>
        <w:ind w:left="544"/>
      </w:pPr>
      <w:r>
        <w:rPr/>
        <w:t>——应保证条码解析程序自身的健壮性；</w:t>
      </w:r>
    </w:p>
    <w:p>
      <w:pPr>
        <w:pStyle w:val="BodyText"/>
        <w:spacing w:before="37"/>
        <w:ind w:left="544"/>
      </w:pPr>
      <w:r>
        <w:rPr/>
        <w:t>——应识别病毒、木马等恶意代码，保障交易的安全性。</w:t>
      </w:r>
    </w:p>
    <w:p>
      <w:pPr>
        <w:pStyle w:val="BodyText"/>
        <w:spacing w:before="9"/>
        <w:rPr>
          <w:sz w:val="14"/>
        </w:rPr>
      </w:pPr>
    </w:p>
    <w:p>
      <w:pPr>
        <w:pStyle w:val="ListParagraph"/>
        <w:numPr>
          <w:ilvl w:val="1"/>
          <w:numId w:val="5"/>
        </w:numPr>
        <w:tabs>
          <w:tab w:pos="643" w:val="left" w:leader="none"/>
          <w:tab w:pos="644" w:val="left" w:leader="none"/>
        </w:tabs>
        <w:spacing w:line="240" w:lineRule="auto" w:before="1" w:after="0"/>
        <w:ind w:left="643" w:right="0" w:hanging="525"/>
        <w:jc w:val="left"/>
        <w:rPr>
          <w:rFonts w:ascii="黑体" w:eastAsia="黑体" w:hint="eastAsia"/>
          <w:sz w:val="21"/>
        </w:rPr>
      </w:pPr>
      <w:r>
        <w:rPr>
          <w:rFonts w:ascii="黑体" w:eastAsia="黑体" w:hint="eastAsia"/>
          <w:sz w:val="21"/>
        </w:rPr>
        <w:t>交易验证与确认</w:t>
      </w:r>
    </w:p>
    <w:p>
      <w:pPr>
        <w:pStyle w:val="BodyText"/>
        <w:spacing w:before="10"/>
        <w:rPr>
          <w:rFonts w:ascii="黑体"/>
          <w:sz w:val="14"/>
        </w:rPr>
      </w:pPr>
    </w:p>
    <w:p>
      <w:pPr>
        <w:pStyle w:val="BodyText"/>
        <w:ind w:left="538"/>
      </w:pPr>
      <w:r>
        <w:rPr/>
        <w:t>交易验证可以组合选用下列三类要素：</w:t>
      </w:r>
    </w:p>
    <w:p>
      <w:pPr>
        <w:pStyle w:val="BodyText"/>
        <w:spacing w:before="37"/>
        <w:ind w:left="544"/>
      </w:pPr>
      <w:r>
        <w:rPr/>
        <w:t>——仅客户本人知悉的要素，如静态密码等；</w:t>
      </w:r>
    </w:p>
    <w:p>
      <w:pPr>
        <w:pStyle w:val="BodyText"/>
        <w:spacing w:line="273" w:lineRule="auto" w:before="37"/>
        <w:ind w:left="952" w:right="107" w:hanging="409"/>
      </w:pPr>
      <w:r>
        <w:rPr/>
        <w:t>——仅客户本人持有并特有的，不可复制或者不可重复利用的要素，如经过安全认证的数字证书、电子签名，以及通过安全渠道生成和传输的一次性密码等；</w:t>
      </w:r>
    </w:p>
    <w:p>
      <w:pPr>
        <w:pStyle w:val="BodyText"/>
        <w:spacing w:line="273" w:lineRule="auto" w:before="7"/>
        <w:ind w:left="538" w:right="5357" w:firstLine="6"/>
      </w:pPr>
      <w:r>
        <w:rPr/>
        <w:t>——客户本人生物特征要素，如指纹等。交易验证要素的使用，应满足以下要求：</w:t>
      </w:r>
    </w:p>
    <w:p>
      <w:pPr>
        <w:pStyle w:val="BodyText"/>
        <w:spacing w:before="7"/>
        <w:ind w:left="544"/>
      </w:pPr>
      <w:r>
        <w:rPr/>
        <w:t>——应确保采用的要素相互独立，即部分要素的损坏或者泄露不应导致其他要素损坏或者泄露；</w:t>
      </w:r>
    </w:p>
    <w:p>
      <w:pPr>
        <w:pStyle w:val="BodyText"/>
        <w:spacing w:line="273" w:lineRule="auto" w:before="37"/>
        <w:ind w:left="952" w:right="208" w:hanging="409"/>
        <w:jc w:val="both"/>
      </w:pPr>
      <w:r>
        <w:rPr>
          <w:spacing w:val="-7"/>
        </w:rPr>
        <w:t>——采用数字证书、电子签名作为验证要素的，数字证书及生成电子签名的过程应符合《中华人民共和国电子签名法》、JR/T </w:t>
      </w:r>
      <w:r>
        <w:rPr/>
        <w:t>0118</w:t>
      </w:r>
      <w:r>
        <w:rPr>
          <w:spacing w:val="-9"/>
        </w:rPr>
        <w:t> 等有关规定，确保数字证书的唯一性、完整性及交易的抗抵赖性；</w:t>
      </w:r>
    </w:p>
    <w:p>
      <w:pPr>
        <w:pStyle w:val="BodyText"/>
        <w:spacing w:line="273" w:lineRule="auto" w:before="7"/>
        <w:ind w:left="952" w:right="209" w:hanging="409"/>
      </w:pPr>
      <w:r>
        <w:rPr>
          <w:spacing w:val="-6"/>
        </w:rPr>
        <w:t>——采用一次性密码作为验证要素的，应切实防范一次性密码获取端与支付指令发起端为相同物理设备而带来的风险，并将一次性密码有效期严格限制在最短的必要时间内；</w:t>
      </w:r>
    </w:p>
    <w:p>
      <w:pPr>
        <w:pStyle w:val="BodyText"/>
        <w:spacing w:line="273" w:lineRule="auto" w:before="7"/>
        <w:ind w:left="952" w:right="104" w:hanging="409"/>
      </w:pPr>
      <w:r>
        <w:rPr>
          <w:spacing w:val="-10"/>
        </w:rPr>
        <w:t>——采用客户本人生物特征作为验证要素的，应符合国家、金融行业标准和相关信息安全管理要求， 防止被非法存储、复制或重放。</w:t>
      </w:r>
    </w:p>
    <w:p>
      <w:pPr>
        <w:pStyle w:val="BodyText"/>
        <w:spacing w:before="7"/>
        <w:ind w:left="538"/>
      </w:pPr>
      <w:r>
        <w:rPr/>
        <w:t>采用付款扫码支付方式时，应满足以下要求：</w:t>
      </w:r>
    </w:p>
    <w:p>
      <w:pPr>
        <w:pStyle w:val="BodyText"/>
        <w:spacing w:before="36"/>
        <w:ind w:left="544"/>
      </w:pPr>
      <w:r>
        <w:rPr/>
        <w:t>——应在移动终端展现交易信息，并在界面的显著位置展示收款人信息，便于客户核对；</w:t>
      </w:r>
    </w:p>
    <w:p>
      <w:pPr>
        <w:pStyle w:val="BodyText"/>
        <w:spacing w:line="273" w:lineRule="auto" w:before="36"/>
        <w:ind w:left="952" w:right="211" w:hanging="409"/>
      </w:pPr>
      <w:r>
        <w:rPr>
          <w:spacing w:val="-5"/>
        </w:rPr>
        <w:t>——应经过客户确认并进行交易验证，交易验证宜同时采用上述三类要素中的两类要素，不足两类的应采取相应的风险补偿措施；</w:t>
      </w:r>
    </w:p>
    <w:p>
      <w:pPr>
        <w:pStyle w:val="BodyText"/>
        <w:spacing w:line="273" w:lineRule="auto" w:before="7"/>
        <w:ind w:left="538" w:right="2207" w:firstLine="6"/>
      </w:pPr>
      <w:r>
        <w:rPr/>
        <w:t>——由付款人发起支付指令，交易信息包含但不限于收款人名称、金额等。采用收款扫码支付方式时，应满足以下要求：</w:t>
      </w:r>
    </w:p>
    <w:p>
      <w:pPr>
        <w:pStyle w:val="BodyText"/>
        <w:spacing w:line="273" w:lineRule="auto" w:before="7"/>
        <w:ind w:left="952" w:right="211" w:hanging="409"/>
      </w:pPr>
      <w:r>
        <w:rPr>
          <w:spacing w:val="-5"/>
        </w:rPr>
        <w:t>——应经过客户确认并进行交易验证，交易验证宜同时采用上述三类要素中的两类要素，不足两类的应采取相应的风险补偿措施；</w:t>
      </w:r>
    </w:p>
    <w:p>
      <w:pPr>
        <w:pStyle w:val="BodyText"/>
        <w:spacing w:before="7"/>
        <w:ind w:left="544"/>
      </w:pPr>
      <w:r>
        <w:rPr/>
        <w:t>——在移动终端进行交易验证时，应在移动终端上展现交易信息。</w:t>
      </w:r>
    </w:p>
    <w:p>
      <w:pPr>
        <w:pStyle w:val="BodyText"/>
        <w:spacing w:before="9"/>
        <w:rPr>
          <w:sz w:val="14"/>
        </w:rPr>
      </w:pPr>
    </w:p>
    <w:p>
      <w:pPr>
        <w:pStyle w:val="ListParagraph"/>
        <w:numPr>
          <w:ilvl w:val="1"/>
          <w:numId w:val="5"/>
        </w:numPr>
        <w:tabs>
          <w:tab w:pos="747" w:val="left" w:leader="none"/>
          <w:tab w:pos="748" w:val="left" w:leader="none"/>
        </w:tabs>
        <w:spacing w:line="240" w:lineRule="auto" w:before="1" w:after="0"/>
        <w:ind w:left="747" w:right="0" w:hanging="629"/>
        <w:jc w:val="left"/>
        <w:rPr>
          <w:rFonts w:ascii="黑体" w:eastAsia="黑体" w:hint="eastAsia"/>
          <w:sz w:val="21"/>
        </w:rPr>
      </w:pPr>
      <w:r>
        <w:rPr>
          <w:rFonts w:ascii="黑体" w:eastAsia="黑体" w:hint="eastAsia"/>
          <w:sz w:val="21"/>
        </w:rPr>
        <w:t>交易风险控制</w:t>
      </w:r>
    </w:p>
    <w:p>
      <w:pPr>
        <w:spacing w:after="0" w:line="240" w:lineRule="auto"/>
        <w:jc w:val="left"/>
        <w:rPr>
          <w:rFonts w:ascii="黑体" w:eastAsia="黑体" w:hint="eastAsia"/>
          <w:sz w:val="21"/>
        </w:rPr>
        <w:sectPr>
          <w:pgSz w:w="11910" w:h="16840"/>
          <w:pgMar w:header="0" w:footer="1101" w:top="540" w:bottom="1080" w:left="1300" w:right="920"/>
        </w:sectPr>
      </w:pPr>
    </w:p>
    <w:p>
      <w:pPr>
        <w:pStyle w:val="BodyText"/>
        <w:spacing w:line="271" w:lineRule="auto" w:before="12"/>
        <w:ind w:left="118" w:right="211" w:firstLine="420"/>
      </w:pPr>
      <w:r>
        <w:rPr>
          <w:spacing w:val="-7"/>
        </w:rPr>
        <w:t>应采用大数据分析、客户行为建模等手段，建立交易风险监控模型和系统，对异常交易进行及时预警，并采取调查核实、风险提示、延迟结算等处理措施。</w:t>
      </w:r>
    </w:p>
    <w:p>
      <w:pPr>
        <w:pStyle w:val="BodyText"/>
        <w:spacing w:line="273" w:lineRule="auto" w:before="9"/>
        <w:ind w:left="118" w:right="211" w:firstLine="420"/>
      </w:pPr>
      <w:r>
        <w:rPr>
          <w:spacing w:val="-3"/>
        </w:rPr>
        <w:t>针对批量或高频登录等异常行为，应利用</w:t>
      </w:r>
      <w:r>
        <w:rPr/>
        <w:t>IP</w:t>
      </w:r>
      <w:r>
        <w:rPr>
          <w:spacing w:val="-8"/>
        </w:rPr>
        <w:t>地址、终端设备标识等信息进行综合识别，及时采取附加验证、拒绝请求等手段。</w:t>
      </w:r>
    </w:p>
    <w:p>
      <w:pPr>
        <w:pStyle w:val="BodyText"/>
        <w:spacing w:line="273" w:lineRule="auto" w:before="7"/>
        <w:ind w:left="118" w:right="210" w:firstLine="420"/>
      </w:pPr>
      <w:r>
        <w:rPr>
          <w:spacing w:val="-6"/>
        </w:rPr>
        <w:t>对于资金类交易等高风险业务，应在确保客户联系方式有效的前提下，及时告知客户其资金变化情况。</w:t>
      </w:r>
    </w:p>
    <w:p>
      <w:pPr>
        <w:pStyle w:val="BodyText"/>
        <w:spacing w:line="273" w:lineRule="auto" w:before="7"/>
        <w:ind w:left="538" w:right="1687"/>
      </w:pPr>
      <w:r>
        <w:rPr/>
        <w:t>应按照7.9条进行交易验证，根据不同风险防范能力设置相应的日累计交易限额。使用动态条码进行支付的，风险防范能力分级见表1。</w:t>
      </w:r>
    </w:p>
    <w:p>
      <w:pPr>
        <w:pStyle w:val="BodyText"/>
        <w:spacing w:before="163"/>
        <w:ind w:left="3589" w:right="3680"/>
        <w:jc w:val="center"/>
        <w:rPr>
          <w:rFonts w:ascii="黑体" w:eastAsia="黑体" w:hint="eastAsia"/>
        </w:rPr>
      </w:pPr>
      <w:r>
        <w:rPr>
          <w:rFonts w:ascii="黑体" w:eastAsia="黑体" w:hint="eastAsia"/>
          <w:spacing w:val="50"/>
        </w:rPr>
        <w:t>表</w:t>
      </w:r>
      <w:r>
        <w:rPr>
          <w:rFonts w:ascii="黑体" w:eastAsia="黑体" w:hint="eastAsia"/>
        </w:rPr>
        <w:t>1</w:t>
      </w:r>
      <w:r>
        <w:rPr>
          <w:rFonts w:ascii="黑体" w:eastAsia="黑体" w:hint="eastAsia"/>
          <w:spacing w:val="1"/>
        </w:rPr>
        <w:t> 风险防范能力分级表</w:t>
      </w:r>
    </w:p>
    <w:p>
      <w:pPr>
        <w:pStyle w:val="BodyText"/>
        <w:spacing w:before="11"/>
        <w:rPr>
          <w:rFonts w:ascii="黑体"/>
          <w:sz w:val="15"/>
        </w:rPr>
      </w:pPr>
    </w:p>
    <w:tbl>
      <w:tblPr>
        <w:tblW w:w="0" w:type="auto"/>
        <w:jc w:val="left"/>
        <w:tblInd w:w="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6"/>
        <w:gridCol w:w="2263"/>
      </w:tblGrid>
      <w:tr>
        <w:trPr>
          <w:trHeight w:val="312" w:hRule="atLeast"/>
        </w:trPr>
        <w:tc>
          <w:tcPr>
            <w:tcW w:w="5096" w:type="dxa"/>
            <w:shd w:val="clear" w:color="auto" w:fill="BFBFBF"/>
          </w:tcPr>
          <w:p>
            <w:pPr>
              <w:pStyle w:val="TableParagraph"/>
              <w:ind w:left="1984" w:right="1976"/>
              <w:jc w:val="center"/>
              <w:rPr>
                <w:b/>
                <w:sz w:val="18"/>
              </w:rPr>
            </w:pPr>
            <w:r>
              <w:rPr>
                <w:b/>
                <w:sz w:val="18"/>
              </w:rPr>
              <w:t>交易验证方式</w:t>
            </w:r>
          </w:p>
        </w:tc>
        <w:tc>
          <w:tcPr>
            <w:tcW w:w="2263" w:type="dxa"/>
            <w:shd w:val="clear" w:color="auto" w:fill="BFBFBF"/>
          </w:tcPr>
          <w:p>
            <w:pPr>
              <w:pStyle w:val="TableParagraph"/>
              <w:ind w:left="568" w:right="560"/>
              <w:jc w:val="center"/>
              <w:rPr>
                <w:b/>
                <w:sz w:val="18"/>
              </w:rPr>
            </w:pPr>
            <w:r>
              <w:rPr>
                <w:b/>
                <w:sz w:val="18"/>
              </w:rPr>
              <w:t>风险防范能力</w:t>
            </w:r>
          </w:p>
        </w:tc>
      </w:tr>
      <w:tr>
        <w:trPr>
          <w:trHeight w:val="623" w:hRule="atLeast"/>
        </w:trPr>
        <w:tc>
          <w:tcPr>
            <w:tcW w:w="5096" w:type="dxa"/>
          </w:tcPr>
          <w:p>
            <w:pPr>
              <w:pStyle w:val="TableParagraph"/>
              <w:ind w:right="-15"/>
              <w:rPr>
                <w:sz w:val="18"/>
              </w:rPr>
            </w:pPr>
            <w:r>
              <w:rPr>
                <w:sz w:val="18"/>
              </w:rPr>
              <w:t>采用包括数字证书或电子签名在内的两类（含）以上有效要素进</w:t>
            </w:r>
          </w:p>
          <w:p>
            <w:pPr>
              <w:pStyle w:val="TableParagraph"/>
              <w:spacing w:before="76"/>
              <w:rPr>
                <w:sz w:val="18"/>
              </w:rPr>
            </w:pPr>
            <w:r>
              <w:rPr>
                <w:sz w:val="18"/>
              </w:rPr>
              <w:t>行验证的（具体要求见 7.9 条）。</w:t>
            </w:r>
          </w:p>
        </w:tc>
        <w:tc>
          <w:tcPr>
            <w:tcW w:w="2263" w:type="dxa"/>
          </w:tcPr>
          <w:p>
            <w:pPr>
              <w:pStyle w:val="TableParagraph"/>
              <w:spacing w:before="9"/>
              <w:ind w:left="0"/>
              <w:rPr>
                <w:rFonts w:ascii="黑体"/>
                <w:sz w:val="12"/>
              </w:rPr>
            </w:pPr>
          </w:p>
          <w:p>
            <w:pPr>
              <w:pStyle w:val="TableParagraph"/>
              <w:spacing w:before="0"/>
              <w:ind w:left="568" w:right="516"/>
              <w:jc w:val="center"/>
              <w:rPr>
                <w:sz w:val="18"/>
              </w:rPr>
            </w:pPr>
            <w:r>
              <w:rPr>
                <w:sz w:val="18"/>
              </w:rPr>
              <w:t>A级 </w:t>
            </w:r>
          </w:p>
        </w:tc>
      </w:tr>
      <w:tr>
        <w:trPr>
          <w:trHeight w:val="700" w:hRule="atLeast"/>
        </w:trPr>
        <w:tc>
          <w:tcPr>
            <w:tcW w:w="5096" w:type="dxa"/>
          </w:tcPr>
          <w:p>
            <w:pPr>
              <w:pStyle w:val="TableParagraph"/>
              <w:spacing w:line="316" w:lineRule="auto" w:before="48"/>
              <w:ind w:right="-15"/>
              <w:rPr>
                <w:sz w:val="18"/>
              </w:rPr>
            </w:pPr>
            <w:r>
              <w:rPr>
                <w:sz w:val="18"/>
              </w:rPr>
              <w:t>采用不包括数字证书、电子签名在内的两类（含）以上有效要素进行验证的（</w:t>
            </w:r>
            <w:r>
              <w:rPr>
                <w:spacing w:val="-8"/>
                <w:sz w:val="18"/>
              </w:rPr>
              <w:t>具体要求见 </w:t>
            </w:r>
            <w:r>
              <w:rPr>
                <w:sz w:val="18"/>
              </w:rPr>
              <w:t>7.9</w:t>
            </w:r>
            <w:r>
              <w:rPr>
                <w:spacing w:val="-23"/>
                <w:sz w:val="18"/>
              </w:rPr>
              <w:t> 条</w:t>
            </w:r>
            <w:r>
              <w:rPr>
                <w:sz w:val="18"/>
              </w:rPr>
              <w:t>）。</w:t>
            </w:r>
          </w:p>
        </w:tc>
        <w:tc>
          <w:tcPr>
            <w:tcW w:w="2263" w:type="dxa"/>
          </w:tcPr>
          <w:p>
            <w:pPr>
              <w:pStyle w:val="TableParagraph"/>
              <w:spacing w:before="8"/>
              <w:ind w:left="0"/>
              <w:rPr>
                <w:rFonts w:ascii="黑体"/>
                <w:sz w:val="15"/>
              </w:rPr>
            </w:pPr>
          </w:p>
          <w:p>
            <w:pPr>
              <w:pStyle w:val="TableParagraph"/>
              <w:spacing w:before="0"/>
              <w:ind w:left="568" w:right="516"/>
              <w:jc w:val="center"/>
              <w:rPr>
                <w:sz w:val="18"/>
              </w:rPr>
            </w:pPr>
            <w:r>
              <w:rPr>
                <w:sz w:val="18"/>
              </w:rPr>
              <w:t>B级 </w:t>
            </w:r>
          </w:p>
        </w:tc>
      </w:tr>
      <w:tr>
        <w:trPr>
          <w:trHeight w:val="311" w:hRule="atLeast"/>
        </w:trPr>
        <w:tc>
          <w:tcPr>
            <w:tcW w:w="5096" w:type="dxa"/>
          </w:tcPr>
          <w:p>
            <w:pPr>
              <w:pStyle w:val="TableParagraph"/>
              <w:rPr>
                <w:sz w:val="18"/>
              </w:rPr>
            </w:pPr>
            <w:r>
              <w:rPr>
                <w:sz w:val="18"/>
              </w:rPr>
              <w:t>采用不足两类有效要素进行验证的（具体要求见 7.9 条）。</w:t>
            </w:r>
          </w:p>
        </w:tc>
        <w:tc>
          <w:tcPr>
            <w:tcW w:w="2263" w:type="dxa"/>
          </w:tcPr>
          <w:p>
            <w:pPr>
              <w:pStyle w:val="TableParagraph"/>
              <w:ind w:left="568" w:right="560"/>
              <w:jc w:val="center"/>
              <w:rPr>
                <w:sz w:val="18"/>
              </w:rPr>
            </w:pPr>
            <w:r>
              <w:rPr>
                <w:sz w:val="18"/>
              </w:rPr>
              <w:t>C 级</w:t>
            </w:r>
          </w:p>
        </w:tc>
      </w:tr>
    </w:tbl>
    <w:p>
      <w:pPr>
        <w:pStyle w:val="BodyText"/>
        <w:spacing w:before="141"/>
        <w:ind w:left="538"/>
      </w:pPr>
      <w:r>
        <w:rPr/>
        <w:t>使用静态条码进行支付的，风险防范能力为D级。</w:t>
      </w:r>
    </w:p>
    <w:p>
      <w:pPr>
        <w:pStyle w:val="BodyText"/>
        <w:spacing w:before="9"/>
        <w:rPr>
          <w:sz w:val="14"/>
        </w:rPr>
      </w:pPr>
    </w:p>
    <w:p>
      <w:pPr>
        <w:pStyle w:val="ListParagraph"/>
        <w:numPr>
          <w:ilvl w:val="1"/>
          <w:numId w:val="5"/>
        </w:numPr>
        <w:tabs>
          <w:tab w:pos="747" w:val="left" w:leader="none"/>
          <w:tab w:pos="748" w:val="left" w:leader="none"/>
        </w:tabs>
        <w:spacing w:line="240" w:lineRule="auto" w:before="1" w:after="0"/>
        <w:ind w:left="747" w:right="0" w:hanging="629"/>
        <w:jc w:val="left"/>
        <w:rPr>
          <w:rFonts w:ascii="黑体" w:eastAsia="黑体" w:hint="eastAsia"/>
          <w:sz w:val="21"/>
        </w:rPr>
      </w:pPr>
      <w:r>
        <w:rPr>
          <w:rFonts w:ascii="黑体" w:eastAsia="黑体" w:hint="eastAsia"/>
          <w:sz w:val="21"/>
        </w:rPr>
        <w:t>交易过程安全</w:t>
      </w:r>
    </w:p>
    <w:p>
      <w:pPr>
        <w:pStyle w:val="BodyText"/>
        <w:spacing w:before="10"/>
        <w:rPr>
          <w:rFonts w:ascii="黑体"/>
          <w:sz w:val="14"/>
        </w:rPr>
      </w:pPr>
    </w:p>
    <w:p>
      <w:pPr>
        <w:pStyle w:val="ListParagraph"/>
        <w:numPr>
          <w:ilvl w:val="2"/>
          <w:numId w:val="5"/>
        </w:numPr>
        <w:tabs>
          <w:tab w:pos="958" w:val="left" w:leader="none"/>
          <w:tab w:pos="959" w:val="left" w:leader="none"/>
        </w:tabs>
        <w:spacing w:line="240" w:lineRule="auto" w:before="0" w:after="0"/>
        <w:ind w:left="958" w:right="0" w:hanging="840"/>
        <w:jc w:val="left"/>
        <w:rPr>
          <w:rFonts w:ascii="黑体" w:eastAsia="黑体" w:hint="eastAsia"/>
          <w:sz w:val="21"/>
        </w:rPr>
      </w:pPr>
      <w:r>
        <w:rPr>
          <w:rFonts w:ascii="黑体" w:eastAsia="黑体" w:hint="eastAsia"/>
          <w:sz w:val="21"/>
        </w:rPr>
        <w:t>交易报文安全</w:t>
      </w:r>
    </w:p>
    <w:p>
      <w:pPr>
        <w:pStyle w:val="BodyText"/>
        <w:spacing w:before="9"/>
        <w:rPr>
          <w:rFonts w:ascii="黑体"/>
          <w:sz w:val="14"/>
        </w:rPr>
      </w:pPr>
    </w:p>
    <w:p>
      <w:pPr>
        <w:pStyle w:val="BodyText"/>
        <w:spacing w:line="273" w:lineRule="auto" w:before="1"/>
        <w:ind w:left="118" w:right="210" w:firstLine="420"/>
      </w:pPr>
      <w:r>
        <w:rPr>
          <w:spacing w:val="-6"/>
        </w:rPr>
        <w:t>按照《中国人民银行办公厅关于印发&lt;网络支付报文结构及要素技术规范</w:t>
      </w:r>
      <w:r>
        <w:rPr>
          <w:spacing w:val="-3"/>
        </w:rPr>
        <w:t>（V1.0）</w:t>
      </w:r>
      <w:r>
        <w:rPr>
          <w:spacing w:val="-10"/>
        </w:rPr>
        <w:t>&gt;的通知》</w:t>
      </w:r>
      <w:r>
        <w:rPr/>
        <w:t>（银办发〔2016〕222号）等相关规定，交易报文安全应满足以下要求：</w:t>
      </w:r>
    </w:p>
    <w:p>
      <w:pPr>
        <w:pStyle w:val="BodyText"/>
        <w:spacing w:before="8"/>
        <w:ind w:left="544"/>
      </w:pPr>
      <w:r>
        <w:rPr/>
        <w:t>——应防止对交易的重放攻击；</w:t>
      </w:r>
    </w:p>
    <w:p>
      <w:pPr>
        <w:pStyle w:val="BodyText"/>
        <w:spacing w:before="37"/>
        <w:ind w:left="544"/>
      </w:pPr>
      <w:r>
        <w:rPr/>
        <w:t>——应保证交易的抗抵赖性，包括但不限于数字证书、电子签名等技术手段；</w:t>
      </w:r>
    </w:p>
    <w:p>
      <w:pPr>
        <w:pStyle w:val="BodyText"/>
        <w:spacing w:before="37"/>
        <w:ind w:left="544"/>
      </w:pPr>
      <w:r>
        <w:rPr/>
        <w:t>——在交易报文传输过程中应使用安全协议保证传输安全；</w:t>
      </w:r>
    </w:p>
    <w:p>
      <w:pPr>
        <w:pStyle w:val="BodyText"/>
        <w:spacing w:before="37"/>
        <w:ind w:left="544"/>
      </w:pPr>
      <w:r>
        <w:rPr/>
        <w:t>——应用系统应保证在一段时期内同一商户交易、订单的唯一性；</w:t>
      </w:r>
    </w:p>
    <w:p>
      <w:pPr>
        <w:pStyle w:val="BodyText"/>
        <w:spacing w:before="37"/>
        <w:ind w:left="544"/>
      </w:pPr>
      <w:r>
        <w:rPr/>
        <w:t>——应用系统应检查交易请求报文中记载的交易要素是否完整，拒绝不完整的交易请求；</w:t>
      </w:r>
    </w:p>
    <w:p>
      <w:pPr>
        <w:pStyle w:val="BodyText"/>
        <w:spacing w:before="37"/>
        <w:ind w:left="544"/>
      </w:pPr>
      <w:r>
        <w:rPr/>
        <w:t>——应用系统应防止对支付成功的订单重复支付；</w:t>
      </w:r>
    </w:p>
    <w:p>
      <w:pPr>
        <w:pStyle w:val="BodyText"/>
        <w:spacing w:line="273" w:lineRule="auto" w:before="37"/>
        <w:ind w:left="952" w:right="210" w:hanging="409"/>
      </w:pPr>
      <w:r>
        <w:rPr/>
        <w:t>——应对条码识别后的内容进行严格的安全校验，保证只有合法有效的条码才能进入后续支付流程；</w:t>
      </w:r>
    </w:p>
    <w:p>
      <w:pPr>
        <w:pStyle w:val="BodyText"/>
        <w:spacing w:line="273" w:lineRule="auto" w:before="8"/>
        <w:ind w:left="952" w:right="209" w:hanging="409"/>
      </w:pPr>
      <w:r>
        <w:rPr>
          <w:spacing w:val="-4"/>
        </w:rPr>
        <w:t>——应提供用户客户身份标识唯一和鉴别信息复杂度检查功能，保证应用系统中不存在重复用户客户身份标识、身份鉴别信息不易被冒用。</w:t>
      </w:r>
    </w:p>
    <w:p>
      <w:pPr>
        <w:pStyle w:val="ListParagraph"/>
        <w:numPr>
          <w:ilvl w:val="2"/>
          <w:numId w:val="5"/>
        </w:numPr>
        <w:tabs>
          <w:tab w:pos="957" w:val="left" w:leader="none"/>
          <w:tab w:pos="958" w:val="left" w:leader="none"/>
        </w:tabs>
        <w:spacing w:line="240" w:lineRule="auto" w:before="164" w:after="0"/>
        <w:ind w:left="957" w:right="0" w:hanging="839"/>
        <w:jc w:val="left"/>
        <w:rPr>
          <w:rFonts w:ascii="黑体" w:eastAsia="黑体" w:hint="eastAsia"/>
          <w:sz w:val="21"/>
        </w:rPr>
      </w:pPr>
      <w:r>
        <w:rPr>
          <w:rFonts w:ascii="黑体" w:eastAsia="黑体" w:hint="eastAsia"/>
          <w:sz w:val="21"/>
        </w:rPr>
        <w:t>风险识别与干预</w:t>
      </w:r>
    </w:p>
    <w:p>
      <w:pPr>
        <w:pStyle w:val="BodyText"/>
        <w:spacing w:before="10"/>
        <w:rPr>
          <w:rFonts w:ascii="黑体"/>
          <w:sz w:val="14"/>
        </w:rPr>
      </w:pPr>
    </w:p>
    <w:p>
      <w:pPr>
        <w:pStyle w:val="BodyText"/>
        <w:ind w:left="538"/>
      </w:pPr>
      <w:r>
        <w:rPr/>
        <w:t>风险识别与干预应满足以下要求：</w:t>
      </w:r>
    </w:p>
    <w:p>
      <w:pPr>
        <w:pStyle w:val="BodyText"/>
        <w:spacing w:line="273" w:lineRule="auto" w:before="37"/>
        <w:ind w:left="952" w:right="208" w:hanging="409"/>
      </w:pPr>
      <w:r>
        <w:rPr>
          <w:spacing w:val="-7"/>
        </w:rPr>
        <w:t>——应采取必要措施，在交易过程中给予必要的支付风险提示，可每次提示，也可在业务开通时给予提示；</w:t>
      </w:r>
    </w:p>
    <w:p>
      <w:pPr>
        <w:pStyle w:val="BodyText"/>
        <w:spacing w:before="7"/>
        <w:ind w:left="544"/>
      </w:pPr>
      <w:r>
        <w:rPr/>
        <w:t>——应对交易过程进行风险识别与干预，防范潜在的非法交易、欺诈交易。</w:t>
      </w:r>
    </w:p>
    <w:p>
      <w:pPr>
        <w:pStyle w:val="BodyText"/>
        <w:spacing w:before="9"/>
        <w:rPr>
          <w:sz w:val="14"/>
        </w:rPr>
      </w:pPr>
    </w:p>
    <w:p>
      <w:pPr>
        <w:pStyle w:val="ListParagraph"/>
        <w:numPr>
          <w:ilvl w:val="2"/>
          <w:numId w:val="5"/>
        </w:numPr>
        <w:tabs>
          <w:tab w:pos="958" w:val="left" w:leader="none"/>
          <w:tab w:pos="959" w:val="left" w:leader="none"/>
        </w:tabs>
        <w:spacing w:line="240" w:lineRule="auto" w:before="0" w:after="0"/>
        <w:ind w:left="958" w:right="0" w:hanging="840"/>
        <w:jc w:val="left"/>
        <w:rPr>
          <w:rFonts w:ascii="黑体" w:eastAsia="黑体" w:hint="eastAsia"/>
          <w:sz w:val="21"/>
        </w:rPr>
      </w:pPr>
      <w:r>
        <w:rPr>
          <w:rFonts w:ascii="黑体" w:eastAsia="黑体" w:hint="eastAsia"/>
          <w:sz w:val="21"/>
        </w:rPr>
        <w:t>交易监控</w:t>
      </w:r>
    </w:p>
    <w:p>
      <w:pPr>
        <w:pStyle w:val="BodyText"/>
        <w:spacing w:before="9"/>
        <w:rPr>
          <w:rFonts w:ascii="黑体"/>
          <w:sz w:val="14"/>
        </w:rPr>
      </w:pPr>
    </w:p>
    <w:p>
      <w:pPr>
        <w:pStyle w:val="BodyText"/>
        <w:ind w:left="538"/>
      </w:pPr>
      <w:r>
        <w:rPr/>
        <w:t>交易监控应满足以下要求：</w:t>
      </w:r>
    </w:p>
    <w:p>
      <w:pPr>
        <w:pStyle w:val="BodyText"/>
        <w:spacing w:line="273" w:lineRule="auto" w:before="36"/>
        <w:ind w:left="952" w:right="107" w:hanging="409"/>
      </w:pPr>
      <w:r>
        <w:rPr/>
        <w:t>——应建立交易监控系统，能够甄别并预警潜在风险的交易，例如套现、洗钱、欺诈等可疑交易， 并生成风险监控报告；</w:t>
      </w:r>
    </w:p>
    <w:p>
      <w:pPr>
        <w:pStyle w:val="BodyText"/>
        <w:spacing w:line="273" w:lineRule="auto" w:before="7"/>
        <w:ind w:left="952" w:right="107" w:hanging="409"/>
      </w:pPr>
      <w:r>
        <w:rPr/>
        <w:t>——应根据交易的风险特征建立风险交易模型，有效监测可疑交易，对可疑交易建立报告、复核、查结机制；</w:t>
      </w:r>
    </w:p>
    <w:p>
      <w:pPr>
        <w:pStyle w:val="BodyText"/>
        <w:spacing w:before="7"/>
        <w:ind w:left="544"/>
      </w:pPr>
      <w:r>
        <w:rPr/>
        <w:t>——应对监控到的风险交易进行及时分析与处置；</w:t>
      </w:r>
    </w:p>
    <w:p>
      <w:pPr>
        <w:pStyle w:val="BodyText"/>
        <w:spacing w:before="36"/>
        <w:ind w:left="544"/>
      </w:pPr>
      <w:r>
        <w:rPr/>
        <w:t>——应建立条码支付的黑白名单验证和管理机制，在黑名单中的应直接拒绝。</w:t>
      </w:r>
    </w:p>
    <w:p>
      <w:pPr>
        <w:spacing w:after="0"/>
        <w:sectPr>
          <w:pgSz w:w="11910" w:h="16840"/>
          <w:pgMar w:header="0" w:footer="1101" w:top="540" w:bottom="1080" w:left="1300" w:right="920"/>
        </w:sectPr>
      </w:pPr>
    </w:p>
    <w:p>
      <w:pPr>
        <w:pStyle w:val="ListParagraph"/>
        <w:numPr>
          <w:ilvl w:val="2"/>
          <w:numId w:val="5"/>
        </w:numPr>
        <w:tabs>
          <w:tab w:pos="957" w:val="left" w:leader="none"/>
          <w:tab w:pos="958" w:val="left" w:leader="none"/>
        </w:tabs>
        <w:spacing w:line="240" w:lineRule="auto" w:before="12" w:after="0"/>
        <w:ind w:left="957" w:right="0" w:hanging="839"/>
        <w:jc w:val="left"/>
        <w:rPr>
          <w:rFonts w:ascii="黑体" w:eastAsia="黑体" w:hint="eastAsia"/>
          <w:sz w:val="21"/>
        </w:rPr>
      </w:pPr>
      <w:r>
        <w:rPr>
          <w:rFonts w:ascii="黑体" w:eastAsia="黑体" w:hint="eastAsia"/>
          <w:sz w:val="21"/>
        </w:rPr>
        <w:t>客户和商户教育</w:t>
      </w:r>
    </w:p>
    <w:p>
      <w:pPr>
        <w:pStyle w:val="BodyText"/>
        <w:spacing w:before="9"/>
        <w:rPr>
          <w:rFonts w:ascii="黑体"/>
          <w:sz w:val="14"/>
        </w:rPr>
      </w:pPr>
    </w:p>
    <w:p>
      <w:pPr>
        <w:pStyle w:val="BodyText"/>
        <w:ind w:left="538"/>
      </w:pPr>
      <w:r>
        <w:rPr/>
        <w:t>客户和商户教育应满足以下要求：</w:t>
      </w:r>
    </w:p>
    <w:p>
      <w:pPr>
        <w:pStyle w:val="BodyText"/>
        <w:spacing w:before="35"/>
        <w:ind w:left="544"/>
      </w:pPr>
      <w:r>
        <w:rPr/>
        <w:t>——应通过公开渠道向客户提供安全的包含条码支付功能的客户端程序；</w:t>
      </w:r>
    </w:p>
    <w:p>
      <w:pPr>
        <w:pStyle w:val="BodyText"/>
        <w:spacing w:before="36"/>
        <w:ind w:left="544"/>
      </w:pPr>
      <w:r>
        <w:rPr/>
        <w:t>——应向客户宣传条码支付的安全知识，提高客户安全防范意识；</w:t>
      </w:r>
    </w:p>
    <w:p>
      <w:pPr>
        <w:pStyle w:val="BodyText"/>
        <w:spacing w:before="36"/>
        <w:ind w:left="544"/>
      </w:pPr>
      <w:r>
        <w:rPr/>
        <w:t>——应在支付过程中向客户明确提示相关的安全风险和注意事项；</w:t>
      </w:r>
    </w:p>
    <w:p>
      <w:pPr>
        <w:pStyle w:val="BodyText"/>
        <w:spacing w:before="36"/>
        <w:ind w:left="544"/>
      </w:pPr>
      <w:r>
        <w:rPr/>
        <w:t>——应加强对交易密码等信息的保护管理和客户安全教育，提示客户及时修改密码；</w:t>
      </w:r>
    </w:p>
    <w:p>
      <w:pPr>
        <w:pStyle w:val="BodyText"/>
        <w:spacing w:before="36"/>
        <w:ind w:left="544"/>
      </w:pPr>
      <w:r>
        <w:rPr/>
        <w:t>——应向商户提示静态条码的风险及防范措施。</w:t>
      </w:r>
    </w:p>
    <w:p>
      <w:pPr>
        <w:spacing w:after="0"/>
        <w:sectPr>
          <w:pgSz w:w="11910" w:h="16840"/>
          <w:pgMar w:header="0" w:footer="1101" w:top="540" w:bottom="1080" w:left="1300" w:right="1680"/>
        </w:sectPr>
      </w:pPr>
    </w:p>
    <w:p>
      <w:pPr>
        <w:pStyle w:val="BodyText"/>
        <w:tabs>
          <w:tab w:pos="425" w:val="left" w:leader="none"/>
          <w:tab w:pos="845" w:val="left" w:leader="none"/>
        </w:tabs>
        <w:spacing w:before="13"/>
        <w:ind w:left="5"/>
        <w:jc w:val="center"/>
        <w:rPr>
          <w:rFonts w:ascii="黑体" w:eastAsia="黑体" w:hint="eastAsia"/>
        </w:rPr>
      </w:pPr>
      <w:r>
        <w:rPr>
          <w:rFonts w:ascii="黑体" w:eastAsia="黑体" w:hint="eastAsia"/>
        </w:rPr>
        <w:t>附</w:t>
        <w:tab/>
        <w:t>录</w:t>
        <w:tab/>
        <w:t>A</w:t>
      </w:r>
    </w:p>
    <w:p>
      <w:pPr>
        <w:pStyle w:val="BodyText"/>
        <w:spacing w:line="273" w:lineRule="auto" w:before="35"/>
        <w:ind w:left="4060" w:right="4053"/>
        <w:jc w:val="center"/>
        <w:rPr>
          <w:rFonts w:ascii="黑体" w:eastAsia="黑体" w:hint="eastAsia"/>
        </w:rPr>
      </w:pPr>
      <w:r>
        <w:rPr>
          <w:rFonts w:ascii="黑体" w:eastAsia="黑体" w:hint="eastAsia"/>
        </w:rPr>
        <w:t>（资料性附录） 防伪技术要求</w:t>
      </w:r>
    </w:p>
    <w:p>
      <w:pPr>
        <w:pStyle w:val="BodyText"/>
        <w:spacing w:before="8"/>
        <w:rPr>
          <w:rFonts w:ascii="黑体"/>
        </w:rPr>
      </w:pPr>
    </w:p>
    <w:p>
      <w:pPr>
        <w:pStyle w:val="ListParagraph"/>
        <w:numPr>
          <w:ilvl w:val="1"/>
          <w:numId w:val="6"/>
        </w:numPr>
        <w:tabs>
          <w:tab w:pos="643" w:val="left" w:leader="none"/>
          <w:tab w:pos="644" w:val="left" w:leader="none"/>
        </w:tabs>
        <w:spacing w:line="240" w:lineRule="auto" w:before="35" w:after="0"/>
        <w:ind w:left="643" w:right="0" w:hanging="525"/>
        <w:jc w:val="left"/>
        <w:rPr>
          <w:rFonts w:ascii="黑体" w:eastAsia="黑体" w:hint="eastAsia"/>
          <w:sz w:val="21"/>
        </w:rPr>
      </w:pPr>
      <w:r>
        <w:rPr>
          <w:rFonts w:ascii="黑体" w:eastAsia="黑体" w:hint="eastAsia"/>
          <w:sz w:val="21"/>
        </w:rPr>
        <w:t>概述</w:t>
      </w:r>
    </w:p>
    <w:p>
      <w:pPr>
        <w:pStyle w:val="BodyText"/>
        <w:spacing w:before="8"/>
        <w:rPr>
          <w:rFonts w:ascii="黑体"/>
          <w:sz w:val="26"/>
        </w:rPr>
      </w:pPr>
    </w:p>
    <w:p>
      <w:pPr>
        <w:pStyle w:val="BodyText"/>
        <w:spacing w:line="273" w:lineRule="auto"/>
        <w:ind w:left="118" w:right="110" w:firstLine="420"/>
      </w:pPr>
      <w:r>
        <w:rPr>
          <w:spacing w:val="-6"/>
        </w:rPr>
        <w:t>防伪纸张适用于通用打印机打印，主要用于打印静态条码，粘贴在商户经营场所内进行静态条码展示。</w:t>
      </w:r>
    </w:p>
    <w:p>
      <w:pPr>
        <w:pStyle w:val="BodyText"/>
        <w:spacing w:line="273" w:lineRule="auto" w:before="7"/>
        <w:ind w:left="118" w:right="111" w:firstLine="420"/>
      </w:pPr>
      <w:r>
        <w:rPr>
          <w:spacing w:val="-7"/>
        </w:rPr>
        <w:t>防伪封签单面可粘贴，粘贴后不易脱落，主要用于静态条码展示介质物理防护手段的标记。防伪封签贴在静态条码展示介质物理防护手段开口处，避免后期人为替换静态条码。</w:t>
      </w:r>
    </w:p>
    <w:p>
      <w:pPr>
        <w:pStyle w:val="BodyText"/>
        <w:spacing w:line="273" w:lineRule="auto" w:before="7"/>
        <w:ind w:left="118" w:right="109" w:firstLine="420"/>
      </w:pPr>
      <w:r>
        <w:rPr>
          <w:spacing w:val="-5"/>
        </w:rPr>
        <w:t>防伪纸张和防伪封签采用特种印刷工艺生产，具有易识别、防复制、难伪造、可追溯的特点，便于长期使用和识别。</w:t>
      </w:r>
    </w:p>
    <w:p>
      <w:pPr>
        <w:pStyle w:val="BodyText"/>
        <w:spacing w:before="6"/>
        <w:rPr>
          <w:sz w:val="24"/>
        </w:rPr>
      </w:pPr>
    </w:p>
    <w:p>
      <w:pPr>
        <w:pStyle w:val="ListParagraph"/>
        <w:numPr>
          <w:ilvl w:val="1"/>
          <w:numId w:val="6"/>
        </w:numPr>
        <w:tabs>
          <w:tab w:pos="643" w:val="left" w:leader="none"/>
          <w:tab w:pos="644" w:val="left" w:leader="none"/>
        </w:tabs>
        <w:spacing w:line="240" w:lineRule="auto" w:before="0" w:after="0"/>
        <w:ind w:left="643" w:right="0" w:hanging="525"/>
        <w:jc w:val="left"/>
        <w:rPr>
          <w:rFonts w:ascii="黑体" w:eastAsia="黑体" w:hint="eastAsia"/>
          <w:sz w:val="21"/>
        </w:rPr>
      </w:pPr>
      <w:r>
        <w:rPr>
          <w:rFonts w:ascii="黑体" w:eastAsia="黑体" w:hint="eastAsia"/>
          <w:sz w:val="21"/>
        </w:rPr>
        <w:t>防伪技术</w:t>
      </w:r>
    </w:p>
    <w:p>
      <w:pPr>
        <w:pStyle w:val="BodyText"/>
        <w:spacing w:before="7"/>
        <w:rPr>
          <w:rFonts w:ascii="黑体"/>
          <w:sz w:val="26"/>
        </w:rPr>
      </w:pPr>
    </w:p>
    <w:p>
      <w:pPr>
        <w:pStyle w:val="BodyText"/>
        <w:spacing w:line="273" w:lineRule="auto"/>
        <w:ind w:left="118" w:right="109" w:firstLine="420"/>
        <w:jc w:val="both"/>
      </w:pPr>
      <w:r>
        <w:rPr>
          <w:spacing w:val="-5"/>
        </w:rPr>
        <w:t>防伪纸张的材质为特种防伪纸，防伪封签的材质为特种防伪不干胶纸，应采用防伪技术，具备多种</w:t>
      </w:r>
      <w:r>
        <w:rPr>
          <w:spacing w:val="-10"/>
        </w:rPr>
        <w:t>防伪特征，如炫彩动感光变开窗安全线、光彩光变图案、雕刻凹印图案、环形光角变色纤维、有色荧光图案、有色荧光号码等。</w:t>
      </w:r>
    </w:p>
    <w:p>
      <w:pPr>
        <w:pStyle w:val="BodyText"/>
        <w:spacing w:before="5"/>
        <w:rPr>
          <w:sz w:val="24"/>
        </w:rPr>
      </w:pPr>
    </w:p>
    <w:p>
      <w:pPr>
        <w:pStyle w:val="ListParagraph"/>
        <w:numPr>
          <w:ilvl w:val="1"/>
          <w:numId w:val="6"/>
        </w:numPr>
        <w:tabs>
          <w:tab w:pos="643" w:val="left" w:leader="none"/>
          <w:tab w:pos="644" w:val="left" w:leader="none"/>
        </w:tabs>
        <w:spacing w:line="240" w:lineRule="auto" w:before="0" w:after="0"/>
        <w:ind w:left="643" w:right="0" w:hanging="525"/>
        <w:jc w:val="left"/>
        <w:rPr>
          <w:rFonts w:ascii="黑体" w:eastAsia="黑体" w:hint="eastAsia"/>
          <w:sz w:val="21"/>
        </w:rPr>
      </w:pPr>
      <w:r>
        <w:rPr>
          <w:rFonts w:ascii="黑体" w:eastAsia="黑体" w:hint="eastAsia"/>
          <w:sz w:val="21"/>
        </w:rPr>
        <w:t>技术要求</w:t>
      </w:r>
    </w:p>
    <w:p>
      <w:pPr>
        <w:pStyle w:val="BodyText"/>
        <w:spacing w:before="8"/>
        <w:rPr>
          <w:rFonts w:ascii="黑体"/>
          <w:sz w:val="26"/>
        </w:rPr>
      </w:pPr>
    </w:p>
    <w:p>
      <w:pPr>
        <w:pStyle w:val="ListParagraph"/>
        <w:numPr>
          <w:ilvl w:val="2"/>
          <w:numId w:val="6"/>
        </w:numPr>
        <w:tabs>
          <w:tab w:pos="854" w:val="left" w:leader="none"/>
          <w:tab w:pos="855" w:val="left" w:leader="none"/>
        </w:tabs>
        <w:spacing w:line="240" w:lineRule="auto" w:before="0" w:after="0"/>
        <w:ind w:left="854" w:right="0" w:hanging="734"/>
        <w:jc w:val="left"/>
        <w:rPr>
          <w:rFonts w:ascii="黑体" w:eastAsia="黑体" w:hint="eastAsia"/>
          <w:sz w:val="21"/>
        </w:rPr>
      </w:pPr>
      <w:r>
        <w:rPr>
          <w:rFonts w:ascii="黑体" w:eastAsia="黑体" w:hint="eastAsia"/>
          <w:sz w:val="21"/>
        </w:rPr>
        <w:t>规格</w:t>
      </w:r>
    </w:p>
    <w:p>
      <w:pPr>
        <w:pStyle w:val="BodyText"/>
        <w:spacing w:before="9"/>
        <w:rPr>
          <w:rFonts w:ascii="黑体"/>
          <w:sz w:val="14"/>
        </w:rPr>
      </w:pPr>
    </w:p>
    <w:p>
      <w:pPr>
        <w:pStyle w:val="BodyText"/>
        <w:spacing w:line="273" w:lineRule="auto"/>
        <w:ind w:left="538" w:right="2954"/>
      </w:pPr>
      <w:r>
        <w:rPr/>
        <w:t>防伪纸张宜为矩形，方便打印，中间预留方形静态条码打印区域。防伪纸张克重宜为100g/m</w:t>
      </w:r>
      <w:r>
        <w:rPr>
          <w:position w:val="11"/>
          <w:sz w:val="11"/>
        </w:rPr>
        <w:t>2</w:t>
      </w:r>
      <w:r>
        <w:rPr>
          <w:sz w:val="18"/>
        </w:rPr>
        <w:t>～</w:t>
      </w:r>
      <w:r>
        <w:rPr/>
        <w:t>120g/m</w:t>
      </w:r>
      <w:r>
        <w:rPr>
          <w:position w:val="11"/>
          <w:sz w:val="11"/>
        </w:rPr>
        <w:t>2</w:t>
      </w:r>
      <w:r>
        <w:rPr/>
        <w:t>。</w:t>
      </w:r>
    </w:p>
    <w:p>
      <w:pPr>
        <w:pStyle w:val="BodyText"/>
        <w:spacing w:before="4"/>
        <w:ind w:left="538"/>
      </w:pPr>
      <w:r>
        <w:rPr/>
        <w:t>防伪封签克重（面纸加底纸）宜为120g/m</w:t>
      </w:r>
      <w:r>
        <w:rPr>
          <w:position w:val="11"/>
          <w:sz w:val="11"/>
        </w:rPr>
        <w:t>2</w:t>
      </w:r>
      <w:r>
        <w:rPr>
          <w:sz w:val="18"/>
        </w:rPr>
        <w:t>～</w:t>
      </w:r>
      <w:r>
        <w:rPr/>
        <w:t>160g/m</w:t>
      </w:r>
      <w:r>
        <w:rPr>
          <w:position w:val="11"/>
          <w:sz w:val="11"/>
        </w:rPr>
        <w:t>2</w:t>
      </w:r>
      <w:r>
        <w:rPr/>
        <w:t>。</w:t>
      </w:r>
    </w:p>
    <w:p>
      <w:pPr>
        <w:pStyle w:val="ListParagraph"/>
        <w:numPr>
          <w:ilvl w:val="2"/>
          <w:numId w:val="6"/>
        </w:numPr>
        <w:tabs>
          <w:tab w:pos="855" w:val="left" w:leader="none"/>
          <w:tab w:pos="856" w:val="left" w:leader="none"/>
        </w:tabs>
        <w:spacing w:line="240" w:lineRule="auto" w:before="193" w:after="0"/>
        <w:ind w:left="855" w:right="0" w:hanging="735"/>
        <w:jc w:val="left"/>
        <w:rPr>
          <w:rFonts w:ascii="黑体" w:eastAsia="黑体" w:hint="eastAsia"/>
          <w:sz w:val="21"/>
        </w:rPr>
      </w:pPr>
      <w:r>
        <w:rPr>
          <w:rFonts w:ascii="黑体" w:eastAsia="黑体" w:hint="eastAsia"/>
          <w:sz w:val="21"/>
        </w:rPr>
        <w:t>外观质量</w:t>
      </w:r>
    </w:p>
    <w:p>
      <w:pPr>
        <w:pStyle w:val="BodyText"/>
        <w:spacing w:before="9"/>
        <w:rPr>
          <w:rFonts w:ascii="黑体"/>
          <w:sz w:val="14"/>
        </w:rPr>
      </w:pPr>
    </w:p>
    <w:p>
      <w:pPr>
        <w:pStyle w:val="BodyText"/>
        <w:spacing w:line="273" w:lineRule="auto" w:before="1"/>
        <w:ind w:left="538" w:right="2743"/>
      </w:pPr>
      <w:r>
        <w:rPr/>
        <w:t>表面平整光洁，不得有破损、残缺、卷边、多边、卷角、荷叶边等。文字图案线条清晰，墨色适当，无模糊、浅花、断线、蹭脏等问题。</w:t>
      </w:r>
    </w:p>
    <w:p>
      <w:pPr>
        <w:pStyle w:val="BodyText"/>
        <w:spacing w:before="8"/>
        <w:ind w:left="538"/>
      </w:pPr>
      <w:r>
        <w:rPr/>
        <w:t>开窗安全线开窗规整，不得出现无线、乱线、多根线、翻面线、子母线等。</w:t>
      </w:r>
    </w:p>
    <w:p>
      <w:pPr>
        <w:pStyle w:val="BodyText"/>
        <w:spacing w:before="10"/>
        <w:rPr>
          <w:sz w:val="14"/>
        </w:rPr>
      </w:pPr>
    </w:p>
    <w:p>
      <w:pPr>
        <w:pStyle w:val="ListParagraph"/>
        <w:numPr>
          <w:ilvl w:val="2"/>
          <w:numId w:val="6"/>
        </w:numPr>
        <w:tabs>
          <w:tab w:pos="855" w:val="left" w:leader="none"/>
          <w:tab w:pos="856" w:val="left" w:leader="none"/>
        </w:tabs>
        <w:spacing w:line="240" w:lineRule="auto" w:before="0" w:after="0"/>
        <w:ind w:left="855" w:right="0" w:hanging="735"/>
        <w:jc w:val="left"/>
        <w:rPr>
          <w:rFonts w:ascii="黑体" w:eastAsia="黑体" w:hint="eastAsia"/>
          <w:sz w:val="21"/>
        </w:rPr>
      </w:pPr>
      <w:r>
        <w:rPr>
          <w:rFonts w:ascii="黑体" w:eastAsia="黑体" w:hint="eastAsia"/>
          <w:sz w:val="21"/>
        </w:rPr>
        <w:t>荧光特征</w:t>
      </w:r>
    </w:p>
    <w:p>
      <w:pPr>
        <w:pStyle w:val="BodyText"/>
        <w:spacing w:before="9"/>
        <w:rPr>
          <w:rFonts w:ascii="黑体"/>
          <w:sz w:val="14"/>
        </w:rPr>
      </w:pPr>
    </w:p>
    <w:p>
      <w:pPr>
        <w:pStyle w:val="BodyText"/>
        <w:spacing w:before="1"/>
        <w:ind w:left="538"/>
      </w:pPr>
      <w:r>
        <w:rPr/>
        <w:t>防伪纸张和防伪封签的荧光特征明显、图案完整、颜色鲜明。</w:t>
      </w:r>
    </w:p>
    <w:p>
      <w:pPr>
        <w:pStyle w:val="BodyText"/>
        <w:spacing w:before="10"/>
        <w:rPr>
          <w:sz w:val="14"/>
        </w:rPr>
      </w:pPr>
    </w:p>
    <w:p>
      <w:pPr>
        <w:pStyle w:val="ListParagraph"/>
        <w:numPr>
          <w:ilvl w:val="2"/>
          <w:numId w:val="6"/>
        </w:numPr>
        <w:tabs>
          <w:tab w:pos="855" w:val="left" w:leader="none"/>
          <w:tab w:pos="856" w:val="left" w:leader="none"/>
        </w:tabs>
        <w:spacing w:line="240" w:lineRule="auto" w:before="0" w:after="0"/>
        <w:ind w:left="855" w:right="0" w:hanging="735"/>
        <w:jc w:val="left"/>
        <w:rPr>
          <w:rFonts w:ascii="黑体" w:eastAsia="黑体" w:hint="eastAsia"/>
          <w:sz w:val="21"/>
        </w:rPr>
      </w:pPr>
      <w:r>
        <w:rPr>
          <w:rFonts w:ascii="黑体" w:eastAsia="黑体" w:hint="eastAsia"/>
          <w:sz w:val="21"/>
        </w:rPr>
        <w:t>物化耐性</w:t>
      </w:r>
    </w:p>
    <w:p>
      <w:pPr>
        <w:pStyle w:val="BodyText"/>
        <w:spacing w:before="9"/>
        <w:rPr>
          <w:rFonts w:ascii="黑体"/>
          <w:sz w:val="14"/>
        </w:rPr>
      </w:pPr>
    </w:p>
    <w:p>
      <w:pPr>
        <w:pStyle w:val="BodyText"/>
        <w:spacing w:before="1"/>
        <w:ind w:left="538"/>
      </w:pPr>
      <w:r>
        <w:rPr/>
        <w:t>防伪纸张和防伪封签应具有较强的耐酸、耐碱、耐热水、耐光等特性。</w:t>
      </w:r>
    </w:p>
    <w:p>
      <w:pPr>
        <w:spacing w:after="0"/>
        <w:sectPr>
          <w:pgSz w:w="11910" w:h="16840"/>
          <w:pgMar w:header="0" w:footer="1101" w:top="1180" w:bottom="1080" w:left="1300" w:right="1020"/>
        </w:sectPr>
      </w:pPr>
    </w:p>
    <w:p>
      <w:pPr>
        <w:pStyle w:val="BodyText"/>
        <w:spacing w:before="12"/>
        <w:ind w:left="4216"/>
        <w:rPr>
          <w:rFonts w:ascii="黑体" w:eastAsia="黑体" w:hint="eastAsia"/>
        </w:rPr>
      </w:pPr>
      <w:r>
        <w:rPr>
          <w:rFonts w:ascii="黑体" w:eastAsia="黑体" w:hint="eastAsia"/>
        </w:rPr>
        <w:t>参 考 文 献</w:t>
      </w:r>
    </w:p>
    <w:p>
      <w:pPr>
        <w:pStyle w:val="BodyText"/>
        <w:rPr>
          <w:rFonts w:ascii="黑体"/>
          <w:sz w:val="18"/>
        </w:rPr>
      </w:pPr>
    </w:p>
    <w:p>
      <w:pPr>
        <w:pStyle w:val="ListParagraph"/>
        <w:numPr>
          <w:ilvl w:val="3"/>
          <w:numId w:val="6"/>
        </w:numPr>
        <w:tabs>
          <w:tab w:pos="856" w:val="left" w:leader="none"/>
          <w:tab w:pos="2750" w:val="left" w:leader="none"/>
        </w:tabs>
        <w:spacing w:line="240" w:lineRule="auto" w:before="0" w:after="0"/>
        <w:ind w:left="538" w:right="0" w:firstLine="0"/>
        <w:jc w:val="left"/>
        <w:rPr>
          <w:sz w:val="21"/>
        </w:rPr>
      </w:pPr>
      <w:r>
        <w:rPr>
          <w:sz w:val="21"/>
        </w:rPr>
        <w:t>GB/T 12406—2008</w:t>
        <w:tab/>
        <w:t>表示货币和资金的代码</w:t>
      </w:r>
    </w:p>
    <w:p>
      <w:pPr>
        <w:pStyle w:val="ListParagraph"/>
        <w:numPr>
          <w:ilvl w:val="3"/>
          <w:numId w:val="6"/>
        </w:numPr>
        <w:tabs>
          <w:tab w:pos="856" w:val="left" w:leader="none"/>
          <w:tab w:pos="2750" w:val="left" w:leader="none"/>
          <w:tab w:pos="3802" w:val="left" w:leader="none"/>
          <w:tab w:pos="4854" w:val="left" w:leader="none"/>
          <w:tab w:pos="6747" w:val="left" w:leader="none"/>
        </w:tabs>
        <w:spacing w:line="273" w:lineRule="auto" w:before="36" w:after="0"/>
        <w:ind w:left="538" w:right="1754" w:firstLine="0"/>
        <w:jc w:val="left"/>
        <w:rPr>
          <w:sz w:val="21"/>
        </w:rPr>
      </w:pPr>
      <w:r>
        <w:rPr>
          <w:sz w:val="21"/>
        </w:rPr>
        <w:t>GB/T 22080—2016</w:t>
        <w:tab/>
        <w:t>信息技术</w:t>
        <w:tab/>
        <w:t>安全技术</w:t>
        <w:tab/>
        <w:t>信息安全管理体系</w:t>
        <w:tab/>
        <w:t>要求 [3]GB/T 22081—2016</w:t>
        <w:tab/>
        <w:t>信息技术</w:t>
        <w:tab/>
        <w:t>安全技术</w:t>
        <w:tab/>
        <w:t>信息安全控制实践指南</w:t>
      </w:r>
    </w:p>
    <w:p>
      <w:pPr>
        <w:pStyle w:val="BodyText"/>
        <w:rPr>
          <w:sz w:val="20"/>
        </w:rPr>
      </w:pPr>
    </w:p>
    <w:p>
      <w:pPr>
        <w:pStyle w:val="BodyText"/>
        <w:spacing w:before="11"/>
        <w:rPr>
          <w:sz w:val="22"/>
        </w:rPr>
      </w:pPr>
      <w:r>
        <w:rPr/>
        <w:pict>
          <v:line style="position:absolute;mso-position-horizontal-relative:page;mso-position-vertical-relative:paragraph;z-index:0;mso-wrap-distance-left:0;mso-wrap-distance-right:0" from="217.620605pt,17.192225pt" to="391.875464pt,17.192225pt" stroked="true" strokeweight=".42pt" strokecolor="#000000">
            <v:stroke dashstyle="solid"/>
            <w10:wrap type="topAndBottom"/>
          </v:line>
        </w:pict>
      </w:r>
    </w:p>
    <w:sectPr>
      <w:pgSz w:w="11910" w:h="16840"/>
      <w:pgMar w:header="0" w:footer="1101" w:top="1180" w:bottom="1080" w:left="13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黑体">
    <w:altName w:val="黑体"/>
    <w:charset w:val="86"/>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1.079987pt;margin-top:775.925659pt;width:58.05pt;height:26.4pt;mso-position-horizontal-relative:page;mso-position-vertical-relative:page;z-index:-12784" type="#_x0000_t202" filled="false" stroked="false">
          <v:textbox inset="0,0,0,0">
            <w:txbxContent>
              <w:p>
                <w:pPr>
                  <w:spacing w:before="141"/>
                  <w:ind w:left="20" w:right="0" w:firstLine="0"/>
                  <w:jc w:val="left"/>
                  <w:rPr>
                    <w:sz w:val="28"/>
                  </w:rPr>
                </w:pPr>
                <w:r>
                  <w:rPr>
                    <w:sz w:val="28"/>
                  </w:rPr>
                  <w:t>— </w:t>
                </w:r>
                <w:r>
                  <w:rPr/>
                  <w:fldChar w:fldCharType="begin"/>
                </w:r>
                <w:r>
                  <w:rPr>
                    <w:sz w:val="28"/>
                  </w:rPr>
                  <w:instrText> PAGE </w:instrText>
                </w:r>
                <w:r>
                  <w:rPr/>
                  <w:fldChar w:fldCharType="separate"/>
                </w:r>
                <w:r>
                  <w:rPr/>
                  <w:t>11</w:t>
                </w:r>
                <w:r>
                  <w:rPr/>
                  <w:fldChar w:fldCharType="end"/>
                </w:r>
                <w:r>
                  <w:rPr>
                    <w:sz w:val="28"/>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919998pt;margin-top:775.925659pt;width:58.05pt;height:26.4pt;mso-position-horizontal-relative:page;mso-position-vertical-relative:page;z-index:-12760" type="#_x0000_t202" filled="false" stroked="false">
          <v:textbox inset="0,0,0,0">
            <w:txbxContent>
              <w:p>
                <w:pPr>
                  <w:spacing w:before="141"/>
                  <w:ind w:left="20" w:right="0" w:firstLine="0"/>
                  <w:jc w:val="left"/>
                  <w:rPr>
                    <w:sz w:val="28"/>
                  </w:rPr>
                </w:pPr>
                <w:r>
                  <w:rPr>
                    <w:sz w:val="28"/>
                  </w:rPr>
                  <w:t>— </w:t>
                </w:r>
                <w:r>
                  <w:rPr/>
                  <w:fldChar w:fldCharType="begin"/>
                </w:r>
                <w:r>
                  <w:rPr>
                    <w:sz w:val="28"/>
                  </w:rPr>
                  <w:instrText> PAGE </w:instrText>
                </w:r>
                <w:r>
                  <w:rPr/>
                  <w:fldChar w:fldCharType="separate"/>
                </w:r>
                <w:r>
                  <w:rPr/>
                  <w:t>10</w:t>
                </w:r>
                <w:r>
                  <w:rPr/>
                  <w:fldChar w:fldCharType="end"/>
                </w:r>
                <w:r>
                  <w:rPr>
                    <w:sz w:val="28"/>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upperLetter"/>
      <w:lvlText w:val="%1"/>
      <w:lvlJc w:val="left"/>
      <w:pPr>
        <w:ind w:left="643" w:hanging="526"/>
        <w:jc w:val="left"/>
      </w:pPr>
      <w:rPr>
        <w:rFonts w:hint="default"/>
      </w:rPr>
    </w:lvl>
    <w:lvl w:ilvl="1">
      <w:start w:val="1"/>
      <w:numFmt w:val="decimal"/>
      <w:lvlText w:val="%1.%2"/>
      <w:lvlJc w:val="left"/>
      <w:pPr>
        <w:ind w:left="643" w:hanging="526"/>
        <w:jc w:val="left"/>
      </w:pPr>
      <w:rPr>
        <w:rFonts w:hint="default" w:ascii="黑体" w:hAnsi="黑体" w:eastAsia="黑体" w:cs="黑体"/>
        <w:spacing w:val="-1"/>
        <w:w w:val="100"/>
        <w:sz w:val="21"/>
        <w:szCs w:val="21"/>
      </w:rPr>
    </w:lvl>
    <w:lvl w:ilvl="2">
      <w:start w:val="1"/>
      <w:numFmt w:val="decimal"/>
      <w:lvlText w:val="%1.%2.%3"/>
      <w:lvlJc w:val="left"/>
      <w:pPr>
        <w:ind w:left="854" w:hanging="734"/>
        <w:jc w:val="left"/>
      </w:pPr>
      <w:rPr>
        <w:rFonts w:hint="default" w:ascii="黑体" w:hAnsi="黑体" w:eastAsia="黑体" w:cs="黑体"/>
        <w:spacing w:val="-1"/>
        <w:w w:val="100"/>
        <w:sz w:val="21"/>
        <w:szCs w:val="21"/>
      </w:rPr>
    </w:lvl>
    <w:lvl w:ilvl="3">
      <w:start w:val="1"/>
      <w:numFmt w:val="decimal"/>
      <w:lvlText w:val="[%4]"/>
      <w:lvlJc w:val="left"/>
      <w:pPr>
        <w:ind w:left="538" w:hanging="317"/>
        <w:jc w:val="left"/>
      </w:pPr>
      <w:rPr>
        <w:rFonts w:hint="default" w:ascii="宋体" w:hAnsi="宋体" w:eastAsia="宋体" w:cs="宋体"/>
        <w:w w:val="100"/>
        <w:sz w:val="19"/>
        <w:szCs w:val="19"/>
      </w:rPr>
    </w:lvl>
    <w:lvl w:ilvl="4">
      <w:start w:val="0"/>
      <w:numFmt w:val="bullet"/>
      <w:lvlText w:val="•"/>
      <w:lvlJc w:val="left"/>
      <w:pPr>
        <w:ind w:left="2876" w:hanging="317"/>
      </w:pPr>
      <w:rPr>
        <w:rFonts w:hint="default"/>
      </w:rPr>
    </w:lvl>
    <w:lvl w:ilvl="5">
      <w:start w:val="0"/>
      <w:numFmt w:val="bullet"/>
      <w:lvlText w:val="•"/>
      <w:lvlJc w:val="left"/>
      <w:pPr>
        <w:ind w:left="3884" w:hanging="317"/>
      </w:pPr>
      <w:rPr>
        <w:rFonts w:hint="default"/>
      </w:rPr>
    </w:lvl>
    <w:lvl w:ilvl="6">
      <w:start w:val="0"/>
      <w:numFmt w:val="bullet"/>
      <w:lvlText w:val="•"/>
      <w:lvlJc w:val="left"/>
      <w:pPr>
        <w:ind w:left="4892" w:hanging="317"/>
      </w:pPr>
      <w:rPr>
        <w:rFonts w:hint="default"/>
      </w:rPr>
    </w:lvl>
    <w:lvl w:ilvl="7">
      <w:start w:val="0"/>
      <w:numFmt w:val="bullet"/>
      <w:lvlText w:val="•"/>
      <w:lvlJc w:val="left"/>
      <w:pPr>
        <w:ind w:left="5900" w:hanging="317"/>
      </w:pPr>
      <w:rPr>
        <w:rFonts w:hint="default"/>
      </w:rPr>
    </w:lvl>
    <w:lvl w:ilvl="8">
      <w:start w:val="0"/>
      <w:numFmt w:val="bullet"/>
      <w:lvlText w:val="•"/>
      <w:lvlJc w:val="left"/>
      <w:pPr>
        <w:ind w:left="6908" w:hanging="317"/>
      </w:pPr>
      <w:rPr>
        <w:rFonts w:hint="default"/>
      </w:rPr>
    </w:lvl>
  </w:abstractNum>
  <w:abstractNum w:abstractNumId="4">
    <w:multiLevelType w:val="hybridMultilevel"/>
    <w:lvl w:ilvl="0">
      <w:start w:val="7"/>
      <w:numFmt w:val="decimal"/>
      <w:lvlText w:val="%1"/>
      <w:lvlJc w:val="left"/>
      <w:pPr>
        <w:ind w:left="643" w:hanging="526"/>
        <w:jc w:val="left"/>
      </w:pPr>
      <w:rPr>
        <w:rFonts w:hint="default"/>
      </w:rPr>
    </w:lvl>
    <w:lvl w:ilvl="1">
      <w:start w:val="8"/>
      <w:numFmt w:val="decimal"/>
      <w:lvlText w:val="%1.%2"/>
      <w:lvlJc w:val="left"/>
      <w:pPr>
        <w:ind w:left="643" w:hanging="526"/>
        <w:jc w:val="left"/>
      </w:pPr>
      <w:rPr>
        <w:rFonts w:hint="default" w:ascii="黑体" w:hAnsi="黑体" w:eastAsia="黑体" w:cs="黑体"/>
        <w:w w:val="100"/>
        <w:sz w:val="21"/>
        <w:szCs w:val="21"/>
      </w:rPr>
    </w:lvl>
    <w:lvl w:ilvl="2">
      <w:start w:val="1"/>
      <w:numFmt w:val="decimal"/>
      <w:lvlText w:val="%1.%2.%3"/>
      <w:lvlJc w:val="left"/>
      <w:pPr>
        <w:ind w:left="958" w:hanging="840"/>
        <w:jc w:val="left"/>
      </w:pPr>
      <w:rPr>
        <w:rFonts w:hint="default" w:ascii="黑体" w:hAnsi="黑体" w:eastAsia="黑体" w:cs="黑体"/>
        <w:w w:val="100"/>
        <w:sz w:val="21"/>
        <w:szCs w:val="21"/>
      </w:rPr>
    </w:lvl>
    <w:lvl w:ilvl="3">
      <w:start w:val="0"/>
      <w:numFmt w:val="bullet"/>
      <w:lvlText w:val="•"/>
      <w:lvlJc w:val="left"/>
      <w:pPr>
        <w:ind w:left="2898" w:hanging="840"/>
      </w:pPr>
      <w:rPr>
        <w:rFonts w:hint="default"/>
      </w:rPr>
    </w:lvl>
    <w:lvl w:ilvl="4">
      <w:start w:val="0"/>
      <w:numFmt w:val="bullet"/>
      <w:lvlText w:val="•"/>
      <w:lvlJc w:val="left"/>
      <w:pPr>
        <w:ind w:left="3868" w:hanging="840"/>
      </w:pPr>
      <w:rPr>
        <w:rFonts w:hint="default"/>
      </w:rPr>
    </w:lvl>
    <w:lvl w:ilvl="5">
      <w:start w:val="0"/>
      <w:numFmt w:val="bullet"/>
      <w:lvlText w:val="•"/>
      <w:lvlJc w:val="left"/>
      <w:pPr>
        <w:ind w:left="4837" w:hanging="840"/>
      </w:pPr>
      <w:rPr>
        <w:rFonts w:hint="default"/>
      </w:rPr>
    </w:lvl>
    <w:lvl w:ilvl="6">
      <w:start w:val="0"/>
      <w:numFmt w:val="bullet"/>
      <w:lvlText w:val="•"/>
      <w:lvlJc w:val="left"/>
      <w:pPr>
        <w:ind w:left="5806" w:hanging="840"/>
      </w:pPr>
      <w:rPr>
        <w:rFonts w:hint="default"/>
      </w:rPr>
    </w:lvl>
    <w:lvl w:ilvl="7">
      <w:start w:val="0"/>
      <w:numFmt w:val="bullet"/>
      <w:lvlText w:val="•"/>
      <w:lvlJc w:val="left"/>
      <w:pPr>
        <w:ind w:left="6776" w:hanging="840"/>
      </w:pPr>
      <w:rPr>
        <w:rFonts w:hint="default"/>
      </w:rPr>
    </w:lvl>
    <w:lvl w:ilvl="8">
      <w:start w:val="0"/>
      <w:numFmt w:val="bullet"/>
      <w:lvlText w:val="•"/>
      <w:lvlJc w:val="left"/>
      <w:pPr>
        <w:ind w:left="7745" w:hanging="840"/>
      </w:pPr>
      <w:rPr>
        <w:rFonts w:hint="default"/>
      </w:rPr>
    </w:lvl>
  </w:abstractNum>
  <w:abstractNum w:abstractNumId="3">
    <w:multiLevelType w:val="hybridMultilevel"/>
    <w:lvl w:ilvl="0">
      <w:start w:val="7"/>
      <w:numFmt w:val="decimal"/>
      <w:lvlText w:val="%1"/>
      <w:lvlJc w:val="left"/>
      <w:pPr>
        <w:ind w:left="643" w:hanging="526"/>
        <w:jc w:val="left"/>
      </w:pPr>
      <w:rPr>
        <w:rFonts w:hint="default"/>
      </w:rPr>
    </w:lvl>
    <w:lvl w:ilvl="1">
      <w:start w:val="1"/>
      <w:numFmt w:val="decimal"/>
      <w:lvlText w:val="%1.%2"/>
      <w:lvlJc w:val="left"/>
      <w:pPr>
        <w:ind w:left="643" w:hanging="526"/>
        <w:jc w:val="left"/>
      </w:pPr>
      <w:rPr>
        <w:rFonts w:hint="default" w:ascii="黑体" w:hAnsi="黑体" w:eastAsia="黑体" w:cs="黑体"/>
        <w:w w:val="100"/>
        <w:sz w:val="21"/>
        <w:szCs w:val="21"/>
      </w:rPr>
    </w:lvl>
    <w:lvl w:ilvl="2">
      <w:start w:val="1"/>
      <w:numFmt w:val="decimal"/>
      <w:lvlText w:val="%1.%2.%3"/>
      <w:lvlJc w:val="left"/>
      <w:pPr>
        <w:ind w:left="853" w:hanging="736"/>
        <w:jc w:val="left"/>
      </w:pPr>
      <w:rPr>
        <w:rFonts w:hint="default" w:ascii="黑体" w:hAnsi="黑体" w:eastAsia="黑体" w:cs="黑体"/>
        <w:w w:val="100"/>
        <w:sz w:val="21"/>
        <w:szCs w:val="21"/>
      </w:rPr>
    </w:lvl>
    <w:lvl w:ilvl="3">
      <w:start w:val="0"/>
      <w:numFmt w:val="bullet"/>
      <w:lvlText w:val=""/>
      <w:lvlJc w:val="left"/>
      <w:pPr>
        <w:ind w:left="1382" w:hanging="410"/>
      </w:pPr>
      <w:rPr>
        <w:rFonts w:hint="default" w:ascii="Symbol" w:hAnsi="Symbol" w:eastAsia="Symbol" w:cs="Symbol"/>
        <w:w w:val="100"/>
        <w:sz w:val="21"/>
        <w:szCs w:val="21"/>
      </w:rPr>
    </w:lvl>
    <w:lvl w:ilvl="4">
      <w:start w:val="0"/>
      <w:numFmt w:val="bullet"/>
      <w:lvlText w:val="•"/>
      <w:lvlJc w:val="left"/>
      <w:pPr>
        <w:ind w:left="3431" w:hanging="410"/>
      </w:pPr>
      <w:rPr>
        <w:rFonts w:hint="default"/>
      </w:rPr>
    </w:lvl>
    <w:lvl w:ilvl="5">
      <w:start w:val="0"/>
      <w:numFmt w:val="bullet"/>
      <w:lvlText w:val="•"/>
      <w:lvlJc w:val="left"/>
      <w:pPr>
        <w:ind w:left="4456" w:hanging="410"/>
      </w:pPr>
      <w:rPr>
        <w:rFonts w:hint="default"/>
      </w:rPr>
    </w:lvl>
    <w:lvl w:ilvl="6">
      <w:start w:val="0"/>
      <w:numFmt w:val="bullet"/>
      <w:lvlText w:val="•"/>
      <w:lvlJc w:val="left"/>
      <w:pPr>
        <w:ind w:left="5482" w:hanging="410"/>
      </w:pPr>
      <w:rPr>
        <w:rFonts w:hint="default"/>
      </w:rPr>
    </w:lvl>
    <w:lvl w:ilvl="7">
      <w:start w:val="0"/>
      <w:numFmt w:val="bullet"/>
      <w:lvlText w:val="•"/>
      <w:lvlJc w:val="left"/>
      <w:pPr>
        <w:ind w:left="6507" w:hanging="410"/>
      </w:pPr>
      <w:rPr>
        <w:rFonts w:hint="default"/>
      </w:rPr>
    </w:lvl>
    <w:lvl w:ilvl="8">
      <w:start w:val="0"/>
      <w:numFmt w:val="bullet"/>
      <w:lvlText w:val="•"/>
      <w:lvlJc w:val="left"/>
      <w:pPr>
        <w:ind w:left="7533" w:hanging="410"/>
      </w:pPr>
      <w:rPr>
        <w:rFonts w:hint="default"/>
      </w:rPr>
    </w:lvl>
  </w:abstractNum>
  <w:abstractNum w:abstractNumId="2">
    <w:multiLevelType w:val="hybridMultilevel"/>
    <w:lvl w:ilvl="0">
      <w:start w:val="5"/>
      <w:numFmt w:val="decimal"/>
      <w:lvlText w:val="%1"/>
      <w:lvlJc w:val="left"/>
      <w:pPr>
        <w:ind w:left="643" w:hanging="526"/>
        <w:jc w:val="left"/>
      </w:pPr>
      <w:rPr>
        <w:rFonts w:hint="default"/>
      </w:rPr>
    </w:lvl>
    <w:lvl w:ilvl="1">
      <w:start w:val="2"/>
      <w:numFmt w:val="decimal"/>
      <w:lvlText w:val="%1.%2"/>
      <w:lvlJc w:val="left"/>
      <w:pPr>
        <w:ind w:left="643" w:hanging="526"/>
        <w:jc w:val="left"/>
      </w:pPr>
      <w:rPr>
        <w:rFonts w:hint="default" w:ascii="黑体" w:hAnsi="黑体" w:eastAsia="黑体" w:cs="黑体"/>
        <w:w w:val="100"/>
        <w:sz w:val="21"/>
        <w:szCs w:val="21"/>
      </w:rPr>
    </w:lvl>
    <w:lvl w:ilvl="2">
      <w:start w:val="1"/>
      <w:numFmt w:val="decimal"/>
      <w:lvlText w:val="%1.%2.%3"/>
      <w:lvlJc w:val="left"/>
      <w:pPr>
        <w:ind w:left="853" w:hanging="736"/>
        <w:jc w:val="left"/>
      </w:pPr>
      <w:rPr>
        <w:rFonts w:hint="default" w:ascii="黑体" w:hAnsi="黑体" w:eastAsia="黑体" w:cs="黑体"/>
        <w:w w:val="100"/>
        <w:sz w:val="21"/>
        <w:szCs w:val="21"/>
      </w:rPr>
    </w:lvl>
    <w:lvl w:ilvl="3">
      <w:start w:val="0"/>
      <w:numFmt w:val="bullet"/>
      <w:lvlText w:val="•"/>
      <w:lvlJc w:val="left"/>
      <w:pPr>
        <w:ind w:left="2798" w:hanging="736"/>
      </w:pPr>
      <w:rPr>
        <w:rFonts w:hint="default"/>
      </w:rPr>
    </w:lvl>
    <w:lvl w:ilvl="4">
      <w:start w:val="0"/>
      <w:numFmt w:val="bullet"/>
      <w:lvlText w:val="•"/>
      <w:lvlJc w:val="left"/>
      <w:pPr>
        <w:ind w:left="3768" w:hanging="736"/>
      </w:pPr>
      <w:rPr>
        <w:rFonts w:hint="default"/>
      </w:rPr>
    </w:lvl>
    <w:lvl w:ilvl="5">
      <w:start w:val="0"/>
      <w:numFmt w:val="bullet"/>
      <w:lvlText w:val="•"/>
      <w:lvlJc w:val="left"/>
      <w:pPr>
        <w:ind w:left="4737" w:hanging="736"/>
      </w:pPr>
      <w:rPr>
        <w:rFonts w:hint="default"/>
      </w:rPr>
    </w:lvl>
    <w:lvl w:ilvl="6">
      <w:start w:val="0"/>
      <w:numFmt w:val="bullet"/>
      <w:lvlText w:val="•"/>
      <w:lvlJc w:val="left"/>
      <w:pPr>
        <w:ind w:left="5706" w:hanging="736"/>
      </w:pPr>
      <w:rPr>
        <w:rFonts w:hint="default"/>
      </w:rPr>
    </w:lvl>
    <w:lvl w:ilvl="7">
      <w:start w:val="0"/>
      <w:numFmt w:val="bullet"/>
      <w:lvlText w:val="•"/>
      <w:lvlJc w:val="left"/>
      <w:pPr>
        <w:ind w:left="6676" w:hanging="736"/>
      </w:pPr>
      <w:rPr>
        <w:rFonts w:hint="default"/>
      </w:rPr>
    </w:lvl>
    <w:lvl w:ilvl="8">
      <w:start w:val="0"/>
      <w:numFmt w:val="bullet"/>
      <w:lvlText w:val="•"/>
      <w:lvlJc w:val="left"/>
      <w:pPr>
        <w:ind w:left="7645" w:hanging="736"/>
      </w:pPr>
      <w:rPr>
        <w:rFonts w:hint="default"/>
      </w:rPr>
    </w:lvl>
  </w:abstractNum>
  <w:abstractNum w:abstractNumId="1">
    <w:multiLevelType w:val="hybridMultilevel"/>
    <w:lvl w:ilvl="0">
      <w:start w:val="1"/>
      <w:numFmt w:val="decimal"/>
      <w:lvlText w:val="%1"/>
      <w:lvlJc w:val="left"/>
      <w:pPr>
        <w:ind w:left="433" w:hanging="316"/>
        <w:jc w:val="left"/>
      </w:pPr>
      <w:rPr>
        <w:rFonts w:hint="default" w:ascii="黑体" w:hAnsi="黑体" w:eastAsia="黑体" w:cs="黑体"/>
        <w:w w:val="100"/>
        <w:sz w:val="21"/>
        <w:szCs w:val="21"/>
      </w:rPr>
    </w:lvl>
    <w:lvl w:ilvl="1">
      <w:start w:val="1"/>
      <w:numFmt w:val="decimal"/>
      <w:lvlText w:val="%1.%2"/>
      <w:lvlJc w:val="left"/>
      <w:pPr>
        <w:ind w:left="643" w:hanging="526"/>
        <w:jc w:val="left"/>
      </w:pPr>
      <w:rPr>
        <w:rFonts w:hint="default"/>
        <w:w w:val="100"/>
      </w:rPr>
    </w:lvl>
    <w:lvl w:ilvl="2">
      <w:start w:val="1"/>
      <w:numFmt w:val="decimal"/>
      <w:lvlText w:val="%1.%2.%3"/>
      <w:lvlJc w:val="left"/>
      <w:pPr>
        <w:ind w:left="853" w:hanging="526"/>
        <w:jc w:val="left"/>
      </w:pPr>
      <w:rPr>
        <w:rFonts w:hint="default" w:ascii="黑体" w:hAnsi="黑体" w:eastAsia="黑体" w:cs="黑体"/>
        <w:w w:val="100"/>
        <w:sz w:val="21"/>
        <w:szCs w:val="21"/>
      </w:rPr>
    </w:lvl>
    <w:lvl w:ilvl="3">
      <w:start w:val="0"/>
      <w:numFmt w:val="bullet"/>
      <w:lvlText w:val="•"/>
      <w:lvlJc w:val="left"/>
      <w:pPr>
        <w:ind w:left="860" w:hanging="526"/>
      </w:pPr>
      <w:rPr>
        <w:rFonts w:hint="default"/>
      </w:rPr>
    </w:lvl>
    <w:lvl w:ilvl="4">
      <w:start w:val="0"/>
      <w:numFmt w:val="bullet"/>
      <w:lvlText w:val="•"/>
      <w:lvlJc w:val="left"/>
      <w:pPr>
        <w:ind w:left="2106" w:hanging="526"/>
      </w:pPr>
      <w:rPr>
        <w:rFonts w:hint="default"/>
      </w:rPr>
    </w:lvl>
    <w:lvl w:ilvl="5">
      <w:start w:val="0"/>
      <w:numFmt w:val="bullet"/>
      <w:lvlText w:val="•"/>
      <w:lvlJc w:val="left"/>
      <w:pPr>
        <w:ind w:left="3352" w:hanging="526"/>
      </w:pPr>
      <w:rPr>
        <w:rFonts w:hint="default"/>
      </w:rPr>
    </w:lvl>
    <w:lvl w:ilvl="6">
      <w:start w:val="0"/>
      <w:numFmt w:val="bullet"/>
      <w:lvlText w:val="•"/>
      <w:lvlJc w:val="left"/>
      <w:pPr>
        <w:ind w:left="4599" w:hanging="526"/>
      </w:pPr>
      <w:rPr>
        <w:rFonts w:hint="default"/>
      </w:rPr>
    </w:lvl>
    <w:lvl w:ilvl="7">
      <w:start w:val="0"/>
      <w:numFmt w:val="bullet"/>
      <w:lvlText w:val="•"/>
      <w:lvlJc w:val="left"/>
      <w:pPr>
        <w:ind w:left="5845" w:hanging="526"/>
      </w:pPr>
      <w:rPr>
        <w:rFonts w:hint="default"/>
      </w:rPr>
    </w:lvl>
    <w:lvl w:ilvl="8">
      <w:start w:val="0"/>
      <w:numFmt w:val="bullet"/>
      <w:lvlText w:val="•"/>
      <w:lvlJc w:val="left"/>
      <w:pPr>
        <w:ind w:left="7091" w:hanging="526"/>
      </w:pPr>
      <w:rPr>
        <w:rFonts w:hint="default"/>
      </w:rPr>
    </w:lvl>
  </w:abstractNum>
  <w:abstractNum w:abstractNumId="0">
    <w:multiLevelType w:val="hybridMultilevel"/>
    <w:lvl w:ilvl="0">
      <w:start w:val="1"/>
      <w:numFmt w:val="decimal"/>
      <w:lvlText w:val="%1"/>
      <w:lvlJc w:val="left"/>
      <w:pPr>
        <w:ind w:left="329" w:hanging="212"/>
        <w:jc w:val="left"/>
      </w:pPr>
      <w:rPr>
        <w:rFonts w:hint="default" w:ascii="宋体" w:hAnsi="宋体" w:eastAsia="宋体" w:cs="宋体"/>
        <w:w w:val="100"/>
        <w:sz w:val="21"/>
        <w:szCs w:val="21"/>
      </w:rPr>
    </w:lvl>
    <w:lvl w:ilvl="1">
      <w:start w:val="0"/>
      <w:numFmt w:val="bullet"/>
      <w:lvlText w:val="•"/>
      <w:lvlJc w:val="left"/>
      <w:pPr>
        <w:ind w:left="1234" w:hanging="212"/>
      </w:pPr>
      <w:rPr>
        <w:rFonts w:hint="default"/>
      </w:rPr>
    </w:lvl>
    <w:lvl w:ilvl="2">
      <w:start w:val="0"/>
      <w:numFmt w:val="bullet"/>
      <w:lvlText w:val="•"/>
      <w:lvlJc w:val="left"/>
      <w:pPr>
        <w:ind w:left="2148" w:hanging="212"/>
      </w:pPr>
      <w:rPr>
        <w:rFonts w:hint="default"/>
      </w:rPr>
    </w:lvl>
    <w:lvl w:ilvl="3">
      <w:start w:val="0"/>
      <w:numFmt w:val="bullet"/>
      <w:lvlText w:val="•"/>
      <w:lvlJc w:val="left"/>
      <w:pPr>
        <w:ind w:left="3063" w:hanging="212"/>
      </w:pPr>
      <w:rPr>
        <w:rFonts w:hint="default"/>
      </w:rPr>
    </w:lvl>
    <w:lvl w:ilvl="4">
      <w:start w:val="0"/>
      <w:numFmt w:val="bullet"/>
      <w:lvlText w:val="•"/>
      <w:lvlJc w:val="left"/>
      <w:pPr>
        <w:ind w:left="3977" w:hanging="212"/>
      </w:pPr>
      <w:rPr>
        <w:rFonts w:hint="default"/>
      </w:rPr>
    </w:lvl>
    <w:lvl w:ilvl="5">
      <w:start w:val="0"/>
      <w:numFmt w:val="bullet"/>
      <w:lvlText w:val="•"/>
      <w:lvlJc w:val="left"/>
      <w:pPr>
        <w:ind w:left="4892" w:hanging="212"/>
      </w:pPr>
      <w:rPr>
        <w:rFonts w:hint="default"/>
      </w:rPr>
    </w:lvl>
    <w:lvl w:ilvl="6">
      <w:start w:val="0"/>
      <w:numFmt w:val="bullet"/>
      <w:lvlText w:val="•"/>
      <w:lvlJc w:val="left"/>
      <w:pPr>
        <w:ind w:left="5806" w:hanging="212"/>
      </w:pPr>
      <w:rPr>
        <w:rFonts w:hint="default"/>
      </w:rPr>
    </w:lvl>
    <w:lvl w:ilvl="7">
      <w:start w:val="0"/>
      <w:numFmt w:val="bullet"/>
      <w:lvlText w:val="•"/>
      <w:lvlJc w:val="left"/>
      <w:pPr>
        <w:ind w:left="6721" w:hanging="212"/>
      </w:pPr>
      <w:rPr>
        <w:rFonts w:hint="default"/>
      </w:rPr>
    </w:lvl>
    <w:lvl w:ilvl="8">
      <w:start w:val="0"/>
      <w:numFmt w:val="bullet"/>
      <w:lvlText w:val="•"/>
      <w:lvlJc w:val="left"/>
      <w:pPr>
        <w:ind w:left="7635" w:hanging="212"/>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rPr>
  </w:style>
  <w:style w:styleId="BodyText" w:type="paragraph">
    <w:name w:val="Body Text"/>
    <w:basedOn w:val="Normal"/>
    <w:uiPriority w:val="1"/>
    <w:qFormat/>
    <w:pPr/>
    <w:rPr>
      <w:rFonts w:ascii="宋体" w:hAnsi="宋体" w:eastAsia="宋体" w:cs="宋体"/>
      <w:sz w:val="21"/>
      <w:szCs w:val="21"/>
    </w:rPr>
  </w:style>
  <w:style w:styleId="Heading1" w:type="paragraph">
    <w:name w:val="Heading 1"/>
    <w:basedOn w:val="Normal"/>
    <w:uiPriority w:val="1"/>
    <w:qFormat/>
    <w:pPr>
      <w:spacing w:line="399" w:lineRule="exact"/>
      <w:ind w:left="118"/>
      <w:outlineLvl w:val="1"/>
    </w:pPr>
    <w:rPr>
      <w:rFonts w:ascii="黑体" w:hAnsi="黑体" w:eastAsia="黑体" w:cs="黑体"/>
      <w:sz w:val="32"/>
      <w:szCs w:val="32"/>
    </w:rPr>
  </w:style>
  <w:style w:styleId="ListParagraph" w:type="paragraph">
    <w:name w:val="List Paragraph"/>
    <w:basedOn w:val="Normal"/>
    <w:uiPriority w:val="1"/>
    <w:qFormat/>
    <w:pPr>
      <w:ind w:left="643" w:hanging="525"/>
    </w:pPr>
    <w:rPr>
      <w:rFonts w:ascii="宋体" w:hAnsi="宋体" w:eastAsia="宋体" w:cs="宋体"/>
    </w:rPr>
  </w:style>
  <w:style w:styleId="TableParagraph" w:type="paragraph">
    <w:name w:val="Table Paragraph"/>
    <w:basedOn w:val="Normal"/>
    <w:uiPriority w:val="1"/>
    <w:qFormat/>
    <w:pPr>
      <w:spacing w:before="10"/>
      <w:ind w:left="4"/>
    </w:pPr>
    <w:rPr>
      <w:rFonts w:ascii="宋体" w:hAnsi="宋体" w:eastAsia="宋体" w:cs="宋体"/>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&lt;4D6963726F736F667420576F7264202D20CCF5C2EBD6A7B8B6B0B2C8ABBCBCCAF5B9E6B7B6A3A8CAD4D0D0A3A92E646F63&gt;</dc:title>
  <dcterms:created xsi:type="dcterms:W3CDTF">2018-08-21T15:39:04Z</dcterms:created>
  <dcterms:modified xsi:type="dcterms:W3CDTF">2018-08-21T15:39:04Z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2017-12-28T00:00:00Z</vt:filetime>
  </property>
  <property fmtid="{D5CDD505-2E9C-101B-9397-08002B2CF9AE}" pid="3" name="Creator">
    <vt:lpwstr>PScript5.dll Version 5.2</vt:lpwstr>
  </property>
  <property fmtid="{D5CDD505-2E9C-101B-9397-08002B2CF9AE}" pid="4" name="LastSaved">
    <vt:filetime>2018-08-21T00:00:00Z</vt:filetime>
  </property>
</Properties>
</file>